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Calibri" w:hAnsi="Calibri"/>
          <w:b/>
          <w:i w:val="0"/>
          <w:color w:val="1B2B5A"/>
          <w:sz w:val="36"/>
        </w:rPr>
        <w:t>Incident Reporting Clauses for Service Provider Contracts</w:t>
      </w:r>
    </w:p>
    <w:p>
      <w:pPr>
        <w:spacing w:after="140"/>
      </w:pPr>
      <w:r>
        <w:rPr>
          <w:rFonts w:ascii="Calibri" w:hAnsi="Calibri"/>
          <w:b w:val="0"/>
          <w:i w:val="0"/>
          <w:color w:val="595959"/>
          <w:sz w:val="20"/>
        </w:rPr>
        <w:t>Checklist and drafting aid for security incidents, as of August 2026</w:t>
      </w:r>
    </w:p>
    <w:tbl>
      <w:tblPr>
        <w:tblW w:type="auto" w:w="0"/>
        <w:jc w:val="left"/>
        <w:tblLook w:firstColumn="1" w:firstRow="1" w:lastColumn="0" w:lastRow="0" w:noHBand="0" w:noVBand="1" w:val="04A0"/>
      </w:tblPr>
      <w:tblGrid>
        <w:gridCol w:w="4873"/>
        <w:gridCol w:w="4873"/>
      </w:tblGrid>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Title</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[Complete]</w:t>
            </w:r>
          </w:p>
        </w:tc>
      </w:tr>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Version</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[Complete]</w:t>
            </w:r>
          </w:p>
        </w:tc>
      </w:tr>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Created on</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[Complete]</w:t>
            </w:r>
          </w:p>
        </w:tc>
      </w:tr>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Last updated</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[Complete]</w:t>
            </w:r>
          </w:p>
        </w:tc>
      </w:tr>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Responsible person (ISO)</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[Complete]</w:t>
            </w:r>
          </w:p>
        </w:tc>
      </w:tr>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Approved by</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[Complete]</w:t>
            </w:r>
          </w:p>
        </w:tc>
      </w:tr>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Next review</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[Complete]</w:t>
            </w:r>
          </w:p>
        </w:tc>
      </w:tr>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Confidentiality level</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[Complete]</w:t>
            </w:r>
          </w:p>
        </w:tc>
      </w:tr>
    </w:tbl>
    <w:p/>
    <w:p>
      <w:pPr>
        <w:spacing w:after="0"/>
      </w:pPr>
      <w:r>
        <w:rPr>
          <w:rFonts w:ascii="Calibri" w:hAnsi="Calibri"/>
          <w:b/>
          <w:i w:val="0"/>
          <w:color w:val="1B2B5A"/>
          <w:sz w:val="20"/>
        </w:rPr>
        <w:t>Disclaimer</w:t>
      </w:r>
    </w:p>
    <w:p>
      <w:pPr>
        <w:spacing w:after="160"/>
        <w:pBdr>
          <w:top w:val="single" w:sz="4" w:color="BFBFBF" w:space="6"/>
          <w:left w:val="single" w:sz="4" w:color="BFBFBF" w:space="6"/>
          <w:bottom w:val="single" w:sz="4" w:color="BFBFBF" w:space="6"/>
          <w:right w:val="single" w:sz="4" w:color="BFBFBF" w:space="6"/>
        </w:pBdr>
      </w:pPr>
      <w:r>
        <w:rPr>
          <w:rFonts w:ascii="Calibri" w:hAnsi="Calibri"/>
          <w:b w:val="0"/>
          <w:i/>
          <w:color w:val="595959"/>
          <w:sz w:val="20"/>
        </w:rPr>
        <w:t>This template is a starting point for implementing NIS2 requirements and does not replace adaptation to your organisation's circumstances. NIS2Compass accepts no liability for completeness, currency or legal certainty. Review and approval by qualified persons, including information security, data protection and legal advisers, remain your responsibility.</w:t>
      </w:r>
    </w:p>
    <w:p>
      <w:pPr>
        <w:pStyle w:val="Heading1"/>
        <w:spacing w:before="200" w:after="80"/>
      </w:pPr>
      <w:r>
        <w:rPr>
          <w:rFonts w:ascii="Calibri" w:hAnsi="Calibri"/>
          <w:b/>
          <w:i w:val="0"/>
          <w:color w:val="1B2B5A"/>
          <w:sz w:val="32"/>
        </w:rPr>
        <w:t>Use and context</w:t>
      </w:r>
    </w:p>
    <w:p>
      <w:pPr>
        <w:spacing w:after="100" w:line="259" w:lineRule="auto"/>
      </w:pPr>
      <w:r>
        <w:rPr>
          <w:rFonts w:ascii="Calibri" w:hAnsi="Calibri"/>
          <w:b w:val="0"/>
          <w:i w:val="0"/>
          <w:sz w:val="20"/>
        </w:rPr>
        <w:t>This drafting aid supports the review and negotiation of security clauses with direct suppliers and service providers. It is not a complete contract and is not legal advice. Adapt deadlines, scope, data categories, contacts and escalation paths to the actual service and its risk.</w:t>
      </w:r>
    </w:p>
    <w:p>
      <w:pPr>
        <w:spacing w:after="100" w:line="259" w:lineRule="auto"/>
      </w:pPr>
      <w:r>
        <w:rPr>
          <w:rFonts w:ascii="Calibri" w:hAnsi="Calibri"/>
          <w:b w:val="0"/>
          <w:i w:val="0"/>
          <w:sz w:val="20"/>
        </w:rPr>
        <w:t>Section 30 (2) no. 4 BSIG requires supply-chain security, including security-related aspects of relationships with direct suppliers and service providers. These clauses translate that risk-management context into a traceable information chain. They do not create a statutory BSI reporting obligation for a provider on behalf of its customer.</w:t>
      </w:r>
    </w:p>
    <w:p>
      <w:pPr>
        <w:pStyle w:val="Heading1"/>
        <w:spacing w:before="200" w:after="80"/>
      </w:pPr>
      <w:r>
        <w:rPr>
          <w:rFonts w:ascii="Calibri" w:hAnsi="Calibri"/>
          <w:b/>
          <w:i w:val="0"/>
          <w:color w:val="1B2B5A"/>
          <w:sz w:val="32"/>
        </w:rPr>
        <w:t>Classify the service</w:t>
      </w:r>
    </w:p>
    <w:p>
      <w:pPr>
        <w:spacing w:after="100" w:line="259" w:lineRule="auto"/>
      </w:pPr>
      <w:r>
        <w:rPr>
          <w:rFonts w:ascii="Calibri" w:hAnsi="Calibri"/>
          <w:b w:val="0"/>
          <w:i w:val="0"/>
          <w:sz w:val="20"/>
        </w:rPr>
        <w:t>Critical service: the provider operates, administers or secures systems whose outage or compromise could directly affect your essential services, privileged access, highly sensitive data or reporting process. Agree a short, reachable initial-notification deadline and regular updates.</w:t>
      </w:r>
    </w:p>
    <w:p>
      <w:pPr>
        <w:spacing w:after="100" w:line="259" w:lineRule="auto"/>
      </w:pPr>
      <w:r>
        <w:rPr>
          <w:rFonts w:ascii="Calibri" w:hAnsi="Calibri"/>
          <w:b w:val="0"/>
          <w:i w:val="0"/>
          <w:sz w:val="20"/>
        </w:rPr>
        <w:t>Other service: the provider has no direct operational or administrative role for critical systems. A clear notification deadline remains useful, but should be proportionate to the risk.</w:t>
      </w:r>
    </w:p>
    <w:p>
      <w:pPr>
        <w:pStyle w:val="Heading1"/>
        <w:spacing w:before="200" w:after="80"/>
      </w:pPr>
      <w:r>
        <w:rPr>
          <w:rFonts w:ascii="Calibri" w:hAnsi="Calibri"/>
          <w:b/>
          <w:i w:val="0"/>
          <w:color w:val="1B2B5A"/>
          <w:sz w:val="32"/>
        </w:rPr>
        <w:t>Checklist before signature</w:t>
      </w:r>
    </w:p>
    <w:p>
      <w:pPr>
        <w:pStyle w:val="ListBullet"/>
        <w:spacing w:after="40"/>
      </w:pPr>
      <w:r>
        <w:rPr>
          <w:rFonts w:ascii="Calibri" w:hAnsi="Calibri"/>
          <w:b w:val="0"/>
          <w:i w:val="0"/>
          <w:sz w:val="20"/>
        </w:rPr>
        <w:t>The incident definition and covered services are clear.</w:t>
      </w:r>
    </w:p>
    <w:p>
      <w:pPr>
        <w:pStyle w:val="ListBullet"/>
        <w:spacing w:after="40"/>
      </w:pPr>
      <w:r>
        <w:rPr>
          <w:rFonts w:ascii="Calibri" w:hAnsi="Calibri"/>
          <w:b w:val="0"/>
          <w:i w:val="0"/>
          <w:sz w:val="20"/>
        </w:rPr>
        <w:t>The notification channel, 24/7 contact and escalation backup are named and tested.</w:t>
      </w:r>
    </w:p>
    <w:p>
      <w:pPr>
        <w:pStyle w:val="ListBullet"/>
        <w:spacing w:after="40"/>
      </w:pPr>
      <w:r>
        <w:rPr>
          <w:rFonts w:ascii="Calibri" w:hAnsi="Calibri"/>
          <w:b w:val="0"/>
          <w:i w:val="0"/>
          <w:sz w:val="20"/>
        </w:rPr>
        <w:t>The initial notice states awareness time, affected services per customer, impact, immediate actions and contact person.</w:t>
      </w:r>
    </w:p>
    <w:p>
      <w:pPr>
        <w:pStyle w:val="ListBullet"/>
        <w:spacing w:after="40"/>
      </w:pPr>
      <w:r>
        <w:rPr>
          <w:rFonts w:ascii="Calibri" w:hAnsi="Calibri"/>
          <w:b w:val="0"/>
          <w:i w:val="0"/>
          <w:sz w:val="20"/>
        </w:rPr>
        <w:t>Update cadence, final report, evidence preservation and root-cause cooperation are addressed.</w:t>
      </w:r>
    </w:p>
    <w:p>
      <w:pPr>
        <w:pStyle w:val="ListBullet"/>
        <w:spacing w:after="40"/>
      </w:pPr>
      <w:r>
        <w:rPr>
          <w:rFonts w:ascii="Calibri" w:hAnsi="Calibri"/>
          <w:b w:val="0"/>
          <w:i w:val="0"/>
          <w:sz w:val="20"/>
        </w:rPr>
        <w:t>Subprocessors and material cloud or subservice providers are included in the information chain.</w:t>
      </w:r>
    </w:p>
    <w:p>
      <w:pPr>
        <w:pStyle w:val="ListBullet"/>
        <w:spacing w:after="40"/>
      </w:pPr>
      <w:r>
        <w:rPr>
          <w:rFonts w:ascii="Calibri" w:hAnsi="Calibri"/>
          <w:b w:val="0"/>
          <w:i w:val="0"/>
          <w:sz w:val="20"/>
        </w:rPr>
        <w:t>Confidentiality, data protection, secure transmission and retention of evidence are aligned.</w:t>
      </w:r>
    </w:p>
    <w:p>
      <w:pPr>
        <w:pStyle w:val="ListBullet"/>
        <w:spacing w:after="40"/>
      </w:pPr>
      <w:r>
        <w:rPr>
          <w:rFonts w:ascii="Calibri" w:hAnsi="Calibri"/>
          <w:b w:val="0"/>
          <w:i w:val="0"/>
          <w:sz w:val="20"/>
        </w:rPr>
        <w:t>The clause is reconciled with the incident-response plan, insurance conditions and data-processing agreements.</w:t>
      </w:r>
    </w:p>
    <w:p>
      <w:pPr>
        <w:pStyle w:val="Heading1"/>
        <w:spacing w:before="200" w:after="80"/>
      </w:pPr>
      <w:r>
        <w:rPr>
          <w:rFonts w:ascii="Calibri" w:hAnsi="Calibri"/>
          <w:b/>
          <w:i w:val="0"/>
          <w:color w:val="1B2B5A"/>
          <w:sz w:val="32"/>
        </w:rPr>
        <w:t>Model clauses for critical services</w:t>
      </w:r>
    </w:p>
    <w:p>
      <w:pPr>
        <w:pStyle w:val="Heading2"/>
        <w:spacing w:before="200" w:after="80"/>
      </w:pPr>
      <w:r>
        <w:rPr>
          <w:rFonts w:ascii="Calibri" w:hAnsi="Calibri"/>
          <w:b/>
          <w:i w:val="0"/>
          <w:color w:val="1B2B5A"/>
          <w:sz w:val="24"/>
        </w:rPr>
        <w:t>1. Security incident and initial notification</w:t>
      </w:r>
    </w:p>
    <w:p>
      <w:pPr>
        <w:spacing w:after="100" w:line="259" w:lineRule="auto"/>
      </w:pPr>
      <w:r>
        <w:rPr>
          <w:rFonts w:ascii="Calibri" w:hAnsi="Calibri"/>
          <w:b w:val="0"/>
          <w:i w:val="0"/>
          <w:sz w:val="20"/>
        </w:rPr>
        <w:t>The service provider shall notify the customer without undue delay and no later than [4] hours after becoming aware of any security incident that affects or may affect the confidentiality, integrity or availability of the service provided to the customer. Notification shall be made through [24/7 contact route] and additionally to [email/portal]. The deadline also applies outside normal business hours.</w:t>
      </w:r>
    </w:p>
    <w:p>
      <w:pPr>
        <w:pStyle w:val="Heading2"/>
        <w:spacing w:before="200" w:after="80"/>
      </w:pPr>
      <w:r>
        <w:rPr>
          <w:rFonts w:ascii="Calibri" w:hAnsi="Calibri"/>
          <w:b/>
          <w:i w:val="0"/>
          <w:color w:val="1B2B5A"/>
          <w:sz w:val="24"/>
        </w:rPr>
        <w:t>2. Minimum content of the initial notice</w:t>
      </w:r>
    </w:p>
    <w:p>
      <w:pPr>
        <w:spacing w:after="100" w:line="259" w:lineRule="auto"/>
      </w:pPr>
      <w:r>
        <w:rPr>
          <w:rFonts w:ascii="Calibri" w:hAnsi="Calibri"/>
          <w:b w:val="0"/>
          <w:i w:val="0"/>
          <w:sz w:val="20"/>
        </w:rPr>
        <w:t>To the extent known at that time, the initial notice shall include: time and source of awareness; affected service, systems, access paths and data categories; possible impact on the customer; suspected cause or attack method; measures already taken; a reachable contact; and the time and channel of the next update. Missing information shall be supplied later. The initial notice shall not be delayed until forensics are complete.</w:t>
      </w:r>
    </w:p>
    <w:p>
      <w:pPr>
        <w:pStyle w:val="Heading2"/>
        <w:spacing w:before="200" w:after="80"/>
      </w:pPr>
      <w:r>
        <w:rPr>
          <w:rFonts w:ascii="Calibri" w:hAnsi="Calibri"/>
          <w:b/>
          <w:i w:val="0"/>
          <w:color w:val="1B2B5A"/>
          <w:sz w:val="24"/>
        </w:rPr>
        <w:t>3. Status updates and final report</w:t>
      </w:r>
    </w:p>
    <w:p>
      <w:pPr>
        <w:spacing w:after="100" w:line="259" w:lineRule="auto"/>
      </w:pPr>
      <w:r>
        <w:rPr>
          <w:rFonts w:ascii="Calibri" w:hAnsi="Calibri"/>
          <w:b w:val="0"/>
          <w:i w:val="0"/>
          <w:sz w:val="20"/>
        </w:rPr>
        <w:t>The service provider shall issue a status update without undue delay when material facts change and otherwise at least every [12/24] hours. No later than [10] business days after stabilisation, it shall provide a final report covering timeline, cause, affected data and services, evidence-preservation status, measures taken and planned, and measures to prevent recurrence.</w:t>
      </w:r>
    </w:p>
    <w:p>
      <w:pPr>
        <w:pStyle w:val="Heading2"/>
        <w:spacing w:before="200" w:after="80"/>
      </w:pPr>
      <w:r>
        <w:rPr>
          <w:rFonts w:ascii="Calibri" w:hAnsi="Calibri"/>
          <w:b/>
          <w:i w:val="0"/>
          <w:color w:val="1B2B5A"/>
          <w:sz w:val="24"/>
        </w:rPr>
        <w:t>4. Cooperation and evidence</w:t>
      </w:r>
    </w:p>
    <w:p>
      <w:pPr>
        <w:spacing w:after="100" w:line="259" w:lineRule="auto"/>
      </w:pPr>
      <w:r>
        <w:rPr>
          <w:rFonts w:ascii="Calibri" w:hAnsi="Calibri"/>
          <w:b w:val="0"/>
          <w:i w:val="0"/>
          <w:sz w:val="20"/>
        </w:rPr>
        <w:t>The service provider shall support the customer with significance assessment, customer communication, documentation and, where applicable, reporting to competent authorities. It shall promptly provide the necessary information, contacts and usable evidence to the extent lawful and contractually agreed. The customer remains responsible for its own legal assessments and reports.</w:t>
      </w:r>
    </w:p>
    <w:p>
      <w:pPr>
        <w:pStyle w:val="Heading2"/>
        <w:spacing w:before="200" w:after="80"/>
      </w:pPr>
      <w:r>
        <w:rPr>
          <w:rFonts w:ascii="Calibri" w:hAnsi="Calibri"/>
          <w:b/>
          <w:i w:val="0"/>
          <w:color w:val="1B2B5A"/>
          <w:sz w:val="24"/>
        </w:rPr>
        <w:t>5. Subprocessors</w:t>
      </w:r>
    </w:p>
    <w:p>
      <w:pPr>
        <w:spacing w:after="100" w:line="259" w:lineRule="auto"/>
      </w:pPr>
      <w:r>
        <w:rPr>
          <w:rFonts w:ascii="Calibri" w:hAnsi="Calibri"/>
          <w:b w:val="0"/>
          <w:i w:val="0"/>
          <w:sz w:val="20"/>
        </w:rPr>
        <w:t>The service provider shall impose equivalent information and cooperation obligations on direct subprocessors and other providers material to the service. It remains responsible to the customer for timely onward transmission, plausibility checking and coordination of the information.</w:t>
      </w:r>
    </w:p>
    <w:p>
      <w:pPr>
        <w:pStyle w:val="Heading2"/>
        <w:spacing w:before="200" w:after="80"/>
      </w:pPr>
      <w:r>
        <w:rPr>
          <w:rFonts w:ascii="Calibri" w:hAnsi="Calibri"/>
          <w:b/>
          <w:i w:val="0"/>
          <w:color w:val="1B2B5A"/>
          <w:sz w:val="24"/>
        </w:rPr>
        <w:t>6. Secure communication and confidentiality</w:t>
      </w:r>
    </w:p>
    <w:p>
      <w:pPr>
        <w:spacing w:after="100" w:line="259" w:lineRule="auto"/>
      </w:pPr>
      <w:r>
        <w:rPr>
          <w:rFonts w:ascii="Calibri" w:hAnsi="Calibri"/>
          <w:b w:val="0"/>
          <w:i w:val="0"/>
          <w:sz w:val="20"/>
        </w:rPr>
        <w:t>Incident information shall be transmitted through [encrypted portal / encrypted email / emergency telephone number]. Both parties shall treat technical details, evidence and personal data confidentially. Applicable data-protection obligations and existing data-processing agreements remain unaffected.</w:t>
      </w:r>
    </w:p>
    <w:p>
      <w:pPr>
        <w:pStyle w:val="Heading1"/>
        <w:spacing w:before="200" w:after="80"/>
      </w:pPr>
      <w:r>
        <w:rPr>
          <w:rFonts w:ascii="Calibri" w:hAnsi="Calibri"/>
          <w:b/>
          <w:i w:val="0"/>
          <w:color w:val="1B2B5A"/>
          <w:sz w:val="32"/>
        </w:rPr>
        <w:t>Model clause for other services</w:t>
      </w:r>
    </w:p>
    <w:p>
      <w:pPr>
        <w:spacing w:after="100" w:line="259" w:lineRule="auto"/>
      </w:pPr>
      <w:r>
        <w:rPr>
          <w:rFonts w:ascii="Calibri" w:hAnsi="Calibri"/>
          <w:b w:val="0"/>
          <w:i w:val="0"/>
          <w:sz w:val="20"/>
        </w:rPr>
        <w:t>For other services, the service provider shall notify the customer without undue delay and no later than [24] hours after becoming aware of security incidents with a possible impact on the contractual service. The notice shall include at least the time of awareness, affected service, initial impact, immediate action and contact person. Further information shall follow as soon as it is reliable.</w:t>
      </w:r>
    </w:p>
    <w:p>
      <w:pPr>
        <w:pStyle w:val="Heading1"/>
        <w:spacing w:before="200" w:after="80"/>
      </w:pPr>
      <w:r>
        <w:rPr>
          <w:rFonts w:ascii="Calibri" w:hAnsi="Calibri"/>
          <w:b/>
          <w:i w:val="0"/>
          <w:color w:val="1B2B5A"/>
          <w:sz w:val="32"/>
        </w:rPr>
        <w:t>Align with your reporting process</w:t>
      </w:r>
    </w:p>
    <w:p>
      <w:pPr>
        <w:spacing w:after="100" w:line="259" w:lineRule="auto"/>
      </w:pPr>
      <w:r>
        <w:rPr>
          <w:rFonts w:ascii="Calibri" w:hAnsi="Calibri"/>
          <w:b w:val="0"/>
          <w:i w:val="0"/>
          <w:sz w:val="20"/>
        </w:rPr>
        <w:t>Document separately: when the provider became aware, when you received the information, your own significance assessment and, where applicable, the time of a BSI report. The provider's contractual deadline does not replace your own deadline under Section 32 BSIG.</w:t>
      </w:r>
    </w:p>
    <w:p>
      <w:pPr>
        <w:spacing w:after="100" w:line="259" w:lineRule="auto"/>
      </w:pPr>
      <w:r>
        <w:rPr>
          <w:rFonts w:ascii="Calibri" w:hAnsi="Calibri"/>
          <w:b w:val="0"/>
          <w:i w:val="0"/>
          <w:sz w:val="20"/>
        </w:rPr>
        <w:t>Where personal data is involved, assess Article 33 GDPR in parallel. Under Article 33 (2) GDPR, the processor must notify the controller without undue delay of a personal-data breach. This assessment is separate from a BSI report.</w:t>
      </w:r>
    </w:p>
    <w:p>
      <w:pPr>
        <w:spacing w:after="100" w:line="259" w:lineRule="auto"/>
      </w:pPr>
      <w:r>
        <w:rPr>
          <w:rFonts w:ascii="Calibri" w:hAnsi="Calibri"/>
          <w:b w:val="0"/>
          <w:i w:val="0"/>
          <w:sz w:val="20"/>
        </w:rPr>
        <w:t>Before signing, information security, procurement, the business owner, data protection and legal counsel should jointly assess whether the selected deadlines are technically and organisationally achievable. An ambitious deadline without 24/7 ownership, reachable contacts and a tested notification path does not create a resilient control.</w:t>
      </w:r>
    </w:p>
    <w:p>
      <w:pPr>
        <w:pStyle w:val="Heading1"/>
        <w:spacing w:before="200" w:after="80"/>
      </w:pPr>
      <w:r>
        <w:rPr>
          <w:rFonts w:ascii="Calibri" w:hAnsi="Calibri"/>
          <w:b/>
          <w:i w:val="0"/>
          <w:color w:val="1B2B5A"/>
          <w:sz w:val="32"/>
        </w:rPr>
        <w:t>Tailoring guidance</w:t>
      </w:r>
    </w:p>
    <w:p>
      <w:pPr>
        <w:spacing w:after="100" w:line="259" w:lineRule="auto"/>
      </w:pPr>
      <w:r>
        <w:rPr>
          <w:rFonts w:ascii="Calibri" w:hAnsi="Calibri"/>
          <w:b w:val="0"/>
          <w:i w:val="0"/>
          <w:sz w:val="20"/>
        </w:rPr>
        <w:t>Selecting deadlines: [4] hours for a critical initial notification is a contractual proposal, not a statutory NIS2 deadline. Select a period in which the provider can realistically detect the case, obtain internal approval and use the agreed channel. A shorter escalation can be appropriate for highly critical services; a 24-hour deadline may be sufficient for other services. The aim is not the strictest number but an information chain that works during an incident.</w:t>
      </w:r>
    </w:p>
    <w:p>
      <w:pPr>
        <w:spacing w:after="100" w:line="259" w:lineRule="auto"/>
      </w:pPr>
      <w:r>
        <w:rPr>
          <w:rFonts w:ascii="Calibri" w:hAnsi="Calibri"/>
          <w:b w:val="0"/>
          <w:i w:val="0"/>
          <w:sz w:val="20"/>
        </w:rPr>
        <w:t>Specify the service connection: add an annex that identifies critical services, tenants, interfaces, privileged accounts, data types and emergency contacts. A generic clause without service context often produces unusable bulk notifications in multi-tenant or cloud environments. The provider must be able to identify which customers, services and contacts require separate notification.</w:t>
      </w:r>
    </w:p>
    <w:p>
      <w:pPr>
        <w:spacing w:after="100" w:line="259" w:lineRule="auto"/>
      </w:pPr>
      <w:r>
        <w:rPr>
          <w:rFonts w:ascii="Calibri" w:hAnsi="Calibri"/>
          <w:b w:val="0"/>
          <w:i w:val="0"/>
          <w:sz w:val="20"/>
        </w:rPr>
        <w:t>Communication and evidence: define a primary and a resilient fallback communication method. Specify who can access an emergency portal and how access is checked when personnel changes. Keep the initial notice, subsequent updates, escalation decisions and final report so that the sequence can later be reconstructed. The clause supports process discipline; it does not replace a tested reporting process.</w:t>
      </w:r>
    </w:p>
    <w:p>
      <w:pPr>
        <w:spacing w:after="100" w:line="259" w:lineRule="auto"/>
      </w:pPr>
      <w:r>
        <w:rPr>
          <w:rFonts w:ascii="Calibri" w:hAnsi="Calibri"/>
          <w:b w:val="0"/>
          <w:i w:val="0"/>
          <w:sz w:val="20"/>
        </w:rPr>
        <w:t>Limits of the clause: drafting cannot shift regulatory obligations that apply to the customer alone to the service provider. It neither replaces an incident-response plan nor data-protection, confidentiality or data-processing agreements. Changes to large providers' standard contracts may be unavailable. In that case, document compensating controls, such as named status pages, emergency contacts, certifications, your own monitoring and fallback measures, and a risk assessment.</w:t>
      </w:r>
    </w:p>
    <w:p>
      <w:pPr>
        <w:pStyle w:val="Heading1"/>
        <w:spacing w:before="200" w:after="80"/>
      </w:pPr>
      <w:r>
        <w:rPr>
          <w:rFonts w:ascii="Calibri" w:hAnsi="Calibri"/>
          <w:b/>
          <w:i w:val="0"/>
          <w:color w:val="1B2B5A"/>
          <w:sz w:val="32"/>
        </w:rPr>
        <w:t>Sources and editorial note</w:t>
      </w:r>
    </w:p>
    <w:p>
      <w:pPr>
        <w:spacing w:after="100" w:line="259" w:lineRule="auto"/>
      </w:pPr>
      <w:r>
        <w:rPr>
          <w:rFonts w:ascii="Calibri" w:hAnsi="Calibri"/>
          <w:b w:val="0"/>
          <w:i w:val="0"/>
          <w:sz w:val="20"/>
        </w:rPr>
        <w:t>Primary sources, accessed 26 August 2026: Section 30 BSIG (supply-chain security), https://www.gesetze-im-internet.de/bsig_2025/__30.html ; Section 32 BSIG (reporting duties), https://www.gesetze-im-internet.de/bsig_2025/__32.html ; Article 21(2)(d), Directive (EU) 2022/2555, https://eur-lex.europa.eu/legal-content/EN/TXT/?uri=CELEX:32022L2555 ; Article 33 GDPR (notification of a personal data breach), https://eur-lex.europa.eu/legal-content/EN/TXT/?uri=CELEX:32016R0679 .</w:t>
      </w:r>
    </w:p>
    <w:p>
      <w:pPr>
        <w:spacing w:after="0" w:line="259" w:lineRule="auto"/>
      </w:pPr>
      <w:r>
        <w:rPr>
          <w:rFonts w:ascii="Calibri" w:hAnsi="Calibri"/>
          <w:b w:val="0"/>
          <w:i w:val="0"/>
          <w:sz w:val="20"/>
        </w:rPr>
        <w:t>Editorial status: ready for publication. Fact-check of the cited legal sources against primary sources, editorial review and PDF layout visual review (3 pages) completed.</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B2B5A"/>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B2B5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