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pPr>
      <w:r>
        <w:rPr>
          <w:rFonts w:ascii="Calibri" w:hAnsi="Calibri"/>
          <w:b/>
          <w:i w:val="0"/>
          <w:color w:val="1B2B5A"/>
          <w:sz w:val="36"/>
        </w:rPr>
        <w:t>Meldeklauseln für Dienstleisterverträge</w:t>
      </w:r>
    </w:p>
    <w:p>
      <w:pPr>
        <w:spacing w:after="140"/>
      </w:pPr>
      <w:r>
        <w:rPr>
          <w:rFonts w:ascii="Calibri" w:hAnsi="Calibri"/>
          <w:b w:val="0"/>
          <w:i w:val="0"/>
          <w:color w:val="595959"/>
          <w:sz w:val="20"/>
        </w:rPr>
        <w:t>Prüfliste und Formulierungshilfe für Sicherheitsvorfälle, Stand: August 2026</w:t>
      </w:r>
    </w:p>
    <w:tbl>
      <w:tblPr>
        <w:tblW w:type="auto" w:w="0"/>
        <w:jc w:val="left"/>
        <w:tblLook w:firstColumn="1" w:firstRow="1" w:lastColumn="0" w:lastRow="0" w:noHBand="0" w:noVBand="1" w:val="04A0"/>
      </w:tblPr>
      <w:tblGrid>
        <w:gridCol w:w="4873"/>
        <w:gridCol w:w="4873"/>
      </w:tblGrid>
      <w:tr>
        <w:tc>
          <w:tcPr>
            <w:tcW w:type="dxa" w:w="4873"/>
            <w:vAlign w:val="center"/>
            <w:tcBorders>
              <w:top w:val="single" w:sz="4" w:color="BFBFBF"/>
              <w:left w:val="single" w:sz="4" w:color="BFBFBF"/>
              <w:bottom w:val="single" w:sz="4" w:color="BFBFBF"/>
              <w:right w:val="single" w:sz="4" w:color="BFBFBF"/>
            </w:tcBorders>
          </w:tcPr>
          <w:p>
            <w:pPr>
              <w:spacing w:after="40"/>
            </w:pPr>
            <w:r/>
            <w:r>
              <w:rPr>
                <w:rFonts w:ascii="Calibri" w:hAnsi="Calibri"/>
                <w:b/>
                <w:i w:val="0"/>
                <w:color w:val="1B2B5A"/>
                <w:sz w:val="20"/>
              </w:rPr>
              <w:t>Titel</w:t>
            </w:r>
          </w:p>
        </w:tc>
        <w:tc>
          <w:tcPr>
            <w:tcW w:type="dxa" w:w="4873"/>
            <w:vAlign w:val="center"/>
            <w:tcBorders>
              <w:top w:val="single" w:sz="4" w:color="BFBFBF"/>
              <w:left w:val="single" w:sz="4" w:color="BFBFBF"/>
              <w:bottom w:val="single" w:sz="4" w:color="BFBFBF"/>
              <w:right w:val="single" w:sz="4" w:color="BFBFBF"/>
            </w:tcBorders>
          </w:tcPr>
          <w:p>
            <w:pPr>
              <w:spacing w:after="40"/>
            </w:pPr>
            <w:r/>
            <w:r>
              <w:rPr>
                <w:rFonts w:ascii="Calibri" w:hAnsi="Calibri"/>
                <w:b w:val="0"/>
                <w:i w:val="0"/>
                <w:sz w:val="20"/>
              </w:rPr>
              <w:t>[Ausfüllen]</w:t>
            </w:r>
          </w:p>
        </w:tc>
      </w:tr>
      <w:tr>
        <w:tc>
          <w:tcPr>
            <w:tcW w:type="dxa" w:w="4873"/>
            <w:vAlign w:val="center"/>
            <w:tcBorders>
              <w:top w:val="single" w:sz="4" w:color="BFBFBF"/>
              <w:left w:val="single" w:sz="4" w:color="BFBFBF"/>
              <w:bottom w:val="single" w:sz="4" w:color="BFBFBF"/>
              <w:right w:val="single" w:sz="4" w:color="BFBFBF"/>
            </w:tcBorders>
          </w:tcPr>
          <w:p>
            <w:pPr>
              <w:spacing w:after="40"/>
            </w:pPr>
            <w:r/>
            <w:r>
              <w:rPr>
                <w:rFonts w:ascii="Calibri" w:hAnsi="Calibri"/>
                <w:b/>
                <w:i w:val="0"/>
                <w:color w:val="1B2B5A"/>
                <w:sz w:val="20"/>
              </w:rPr>
              <w:t>Version</w:t>
            </w:r>
          </w:p>
        </w:tc>
        <w:tc>
          <w:tcPr>
            <w:tcW w:type="dxa" w:w="4873"/>
            <w:vAlign w:val="center"/>
            <w:tcBorders>
              <w:top w:val="single" w:sz="4" w:color="BFBFBF"/>
              <w:left w:val="single" w:sz="4" w:color="BFBFBF"/>
              <w:bottom w:val="single" w:sz="4" w:color="BFBFBF"/>
              <w:right w:val="single" w:sz="4" w:color="BFBFBF"/>
            </w:tcBorders>
          </w:tcPr>
          <w:p>
            <w:pPr>
              <w:spacing w:after="40"/>
            </w:pPr>
            <w:r/>
            <w:r>
              <w:rPr>
                <w:rFonts w:ascii="Calibri" w:hAnsi="Calibri"/>
                <w:b w:val="0"/>
                <w:i w:val="0"/>
                <w:sz w:val="20"/>
              </w:rPr>
              <w:t>[Ausfüllen]</w:t>
            </w:r>
          </w:p>
        </w:tc>
      </w:tr>
      <w:tr>
        <w:tc>
          <w:tcPr>
            <w:tcW w:type="dxa" w:w="4873"/>
            <w:vAlign w:val="center"/>
            <w:tcBorders>
              <w:top w:val="single" w:sz="4" w:color="BFBFBF"/>
              <w:left w:val="single" w:sz="4" w:color="BFBFBF"/>
              <w:bottom w:val="single" w:sz="4" w:color="BFBFBF"/>
              <w:right w:val="single" w:sz="4" w:color="BFBFBF"/>
            </w:tcBorders>
          </w:tcPr>
          <w:p>
            <w:pPr>
              <w:spacing w:after="40"/>
            </w:pPr>
            <w:r/>
            <w:r>
              <w:rPr>
                <w:rFonts w:ascii="Calibri" w:hAnsi="Calibri"/>
                <w:b/>
                <w:i w:val="0"/>
                <w:color w:val="1B2B5A"/>
                <w:sz w:val="20"/>
              </w:rPr>
              <w:t>Erstellt am</w:t>
            </w:r>
          </w:p>
        </w:tc>
        <w:tc>
          <w:tcPr>
            <w:tcW w:type="dxa" w:w="4873"/>
            <w:vAlign w:val="center"/>
            <w:tcBorders>
              <w:top w:val="single" w:sz="4" w:color="BFBFBF"/>
              <w:left w:val="single" w:sz="4" w:color="BFBFBF"/>
              <w:bottom w:val="single" w:sz="4" w:color="BFBFBF"/>
              <w:right w:val="single" w:sz="4" w:color="BFBFBF"/>
            </w:tcBorders>
          </w:tcPr>
          <w:p>
            <w:pPr>
              <w:spacing w:after="40"/>
            </w:pPr>
            <w:r/>
            <w:r>
              <w:rPr>
                <w:rFonts w:ascii="Calibri" w:hAnsi="Calibri"/>
                <w:b w:val="0"/>
                <w:i w:val="0"/>
                <w:sz w:val="20"/>
              </w:rPr>
              <w:t>[Ausfüllen]</w:t>
            </w:r>
          </w:p>
        </w:tc>
      </w:tr>
      <w:tr>
        <w:tc>
          <w:tcPr>
            <w:tcW w:type="dxa" w:w="4873"/>
            <w:vAlign w:val="center"/>
            <w:tcBorders>
              <w:top w:val="single" w:sz="4" w:color="BFBFBF"/>
              <w:left w:val="single" w:sz="4" w:color="BFBFBF"/>
              <w:bottom w:val="single" w:sz="4" w:color="BFBFBF"/>
              <w:right w:val="single" w:sz="4" w:color="BFBFBF"/>
            </w:tcBorders>
          </w:tcPr>
          <w:p>
            <w:pPr>
              <w:spacing w:after="40"/>
            </w:pPr>
            <w:r/>
            <w:r>
              <w:rPr>
                <w:rFonts w:ascii="Calibri" w:hAnsi="Calibri"/>
                <w:b/>
                <w:i w:val="0"/>
                <w:color w:val="1B2B5A"/>
                <w:sz w:val="20"/>
              </w:rPr>
              <w:t>Letzte Aktualisierung</w:t>
            </w:r>
          </w:p>
        </w:tc>
        <w:tc>
          <w:tcPr>
            <w:tcW w:type="dxa" w:w="4873"/>
            <w:vAlign w:val="center"/>
            <w:tcBorders>
              <w:top w:val="single" w:sz="4" w:color="BFBFBF"/>
              <w:left w:val="single" w:sz="4" w:color="BFBFBF"/>
              <w:bottom w:val="single" w:sz="4" w:color="BFBFBF"/>
              <w:right w:val="single" w:sz="4" w:color="BFBFBF"/>
            </w:tcBorders>
          </w:tcPr>
          <w:p>
            <w:pPr>
              <w:spacing w:after="40"/>
            </w:pPr>
            <w:r/>
            <w:r>
              <w:rPr>
                <w:rFonts w:ascii="Calibri" w:hAnsi="Calibri"/>
                <w:b w:val="0"/>
                <w:i w:val="0"/>
                <w:sz w:val="20"/>
              </w:rPr>
              <w:t>[Ausfüllen]</w:t>
            </w:r>
          </w:p>
        </w:tc>
      </w:tr>
      <w:tr>
        <w:tc>
          <w:tcPr>
            <w:tcW w:type="dxa" w:w="4873"/>
            <w:vAlign w:val="center"/>
            <w:tcBorders>
              <w:top w:val="single" w:sz="4" w:color="BFBFBF"/>
              <w:left w:val="single" w:sz="4" w:color="BFBFBF"/>
              <w:bottom w:val="single" w:sz="4" w:color="BFBFBF"/>
              <w:right w:val="single" w:sz="4" w:color="BFBFBF"/>
            </w:tcBorders>
          </w:tcPr>
          <w:p>
            <w:pPr>
              <w:spacing w:after="40"/>
            </w:pPr>
            <w:r/>
            <w:r>
              <w:rPr>
                <w:rFonts w:ascii="Calibri" w:hAnsi="Calibri"/>
                <w:b/>
                <w:i w:val="0"/>
                <w:color w:val="1B2B5A"/>
                <w:sz w:val="20"/>
              </w:rPr>
              <w:t>Verantwortlicher (ISB)</w:t>
            </w:r>
          </w:p>
        </w:tc>
        <w:tc>
          <w:tcPr>
            <w:tcW w:type="dxa" w:w="4873"/>
            <w:vAlign w:val="center"/>
            <w:tcBorders>
              <w:top w:val="single" w:sz="4" w:color="BFBFBF"/>
              <w:left w:val="single" w:sz="4" w:color="BFBFBF"/>
              <w:bottom w:val="single" w:sz="4" w:color="BFBFBF"/>
              <w:right w:val="single" w:sz="4" w:color="BFBFBF"/>
            </w:tcBorders>
          </w:tcPr>
          <w:p>
            <w:pPr>
              <w:spacing w:after="40"/>
            </w:pPr>
            <w:r/>
            <w:r>
              <w:rPr>
                <w:rFonts w:ascii="Calibri" w:hAnsi="Calibri"/>
                <w:b w:val="0"/>
                <w:i w:val="0"/>
                <w:sz w:val="20"/>
              </w:rPr>
              <w:t>[Ausfüllen]</w:t>
            </w:r>
          </w:p>
        </w:tc>
      </w:tr>
      <w:tr>
        <w:tc>
          <w:tcPr>
            <w:tcW w:type="dxa" w:w="4873"/>
            <w:vAlign w:val="center"/>
            <w:tcBorders>
              <w:top w:val="single" w:sz="4" w:color="BFBFBF"/>
              <w:left w:val="single" w:sz="4" w:color="BFBFBF"/>
              <w:bottom w:val="single" w:sz="4" w:color="BFBFBF"/>
              <w:right w:val="single" w:sz="4" w:color="BFBFBF"/>
            </w:tcBorders>
          </w:tcPr>
          <w:p>
            <w:pPr>
              <w:spacing w:after="40"/>
            </w:pPr>
            <w:r/>
            <w:r>
              <w:rPr>
                <w:rFonts w:ascii="Calibri" w:hAnsi="Calibri"/>
                <w:b/>
                <w:i w:val="0"/>
                <w:color w:val="1B2B5A"/>
                <w:sz w:val="20"/>
              </w:rPr>
              <w:t>Freigegeben durch</w:t>
            </w:r>
          </w:p>
        </w:tc>
        <w:tc>
          <w:tcPr>
            <w:tcW w:type="dxa" w:w="4873"/>
            <w:vAlign w:val="center"/>
            <w:tcBorders>
              <w:top w:val="single" w:sz="4" w:color="BFBFBF"/>
              <w:left w:val="single" w:sz="4" w:color="BFBFBF"/>
              <w:bottom w:val="single" w:sz="4" w:color="BFBFBF"/>
              <w:right w:val="single" w:sz="4" w:color="BFBFBF"/>
            </w:tcBorders>
          </w:tcPr>
          <w:p>
            <w:pPr>
              <w:spacing w:after="40"/>
            </w:pPr>
            <w:r/>
            <w:r>
              <w:rPr>
                <w:rFonts w:ascii="Calibri" w:hAnsi="Calibri"/>
                <w:b w:val="0"/>
                <w:i w:val="0"/>
                <w:sz w:val="20"/>
              </w:rPr>
              <w:t>[Ausfüllen]</w:t>
            </w:r>
          </w:p>
        </w:tc>
      </w:tr>
      <w:tr>
        <w:tc>
          <w:tcPr>
            <w:tcW w:type="dxa" w:w="4873"/>
            <w:vAlign w:val="center"/>
            <w:tcBorders>
              <w:top w:val="single" w:sz="4" w:color="BFBFBF"/>
              <w:left w:val="single" w:sz="4" w:color="BFBFBF"/>
              <w:bottom w:val="single" w:sz="4" w:color="BFBFBF"/>
              <w:right w:val="single" w:sz="4" w:color="BFBFBF"/>
            </w:tcBorders>
          </w:tcPr>
          <w:p>
            <w:pPr>
              <w:spacing w:after="40"/>
            </w:pPr>
            <w:r/>
            <w:r>
              <w:rPr>
                <w:rFonts w:ascii="Calibri" w:hAnsi="Calibri"/>
                <w:b/>
                <w:i w:val="0"/>
                <w:color w:val="1B2B5A"/>
                <w:sz w:val="20"/>
              </w:rPr>
              <w:t>Nächste Prüfung</w:t>
            </w:r>
          </w:p>
        </w:tc>
        <w:tc>
          <w:tcPr>
            <w:tcW w:type="dxa" w:w="4873"/>
            <w:vAlign w:val="center"/>
            <w:tcBorders>
              <w:top w:val="single" w:sz="4" w:color="BFBFBF"/>
              <w:left w:val="single" w:sz="4" w:color="BFBFBF"/>
              <w:bottom w:val="single" w:sz="4" w:color="BFBFBF"/>
              <w:right w:val="single" w:sz="4" w:color="BFBFBF"/>
            </w:tcBorders>
          </w:tcPr>
          <w:p>
            <w:pPr>
              <w:spacing w:after="40"/>
            </w:pPr>
            <w:r/>
            <w:r>
              <w:rPr>
                <w:rFonts w:ascii="Calibri" w:hAnsi="Calibri"/>
                <w:b w:val="0"/>
                <w:i w:val="0"/>
                <w:sz w:val="20"/>
              </w:rPr>
              <w:t>[Ausfüllen]</w:t>
            </w:r>
          </w:p>
        </w:tc>
      </w:tr>
      <w:tr>
        <w:tc>
          <w:tcPr>
            <w:tcW w:type="dxa" w:w="4873"/>
            <w:vAlign w:val="center"/>
            <w:tcBorders>
              <w:top w:val="single" w:sz="4" w:color="BFBFBF"/>
              <w:left w:val="single" w:sz="4" w:color="BFBFBF"/>
              <w:bottom w:val="single" w:sz="4" w:color="BFBFBF"/>
              <w:right w:val="single" w:sz="4" w:color="BFBFBF"/>
            </w:tcBorders>
          </w:tcPr>
          <w:p>
            <w:pPr>
              <w:spacing w:after="40"/>
            </w:pPr>
            <w:r/>
            <w:r>
              <w:rPr>
                <w:rFonts w:ascii="Calibri" w:hAnsi="Calibri"/>
                <w:b/>
                <w:i w:val="0"/>
                <w:color w:val="1B2B5A"/>
                <w:sz w:val="20"/>
              </w:rPr>
              <w:t>Vertraulichkeitsstufe</w:t>
            </w:r>
          </w:p>
        </w:tc>
        <w:tc>
          <w:tcPr>
            <w:tcW w:type="dxa" w:w="4873"/>
            <w:vAlign w:val="center"/>
            <w:tcBorders>
              <w:top w:val="single" w:sz="4" w:color="BFBFBF"/>
              <w:left w:val="single" w:sz="4" w:color="BFBFBF"/>
              <w:bottom w:val="single" w:sz="4" w:color="BFBFBF"/>
              <w:right w:val="single" w:sz="4" w:color="BFBFBF"/>
            </w:tcBorders>
          </w:tcPr>
          <w:p>
            <w:pPr>
              <w:spacing w:after="40"/>
            </w:pPr>
            <w:r/>
            <w:r>
              <w:rPr>
                <w:rFonts w:ascii="Calibri" w:hAnsi="Calibri"/>
                <w:b w:val="0"/>
                <w:i w:val="0"/>
                <w:sz w:val="20"/>
              </w:rPr>
              <w:t>[Ausfüllen]</w:t>
            </w:r>
          </w:p>
        </w:tc>
      </w:tr>
    </w:tbl>
    <w:p/>
    <w:p>
      <w:pPr>
        <w:spacing w:after="0"/>
      </w:pPr>
      <w:r>
        <w:rPr>
          <w:rFonts w:ascii="Calibri" w:hAnsi="Calibri"/>
          <w:b/>
          <w:i w:val="0"/>
          <w:color w:val="1B2B5A"/>
          <w:sz w:val="20"/>
        </w:rPr>
        <w:t>Haftungshinweis</w:t>
      </w:r>
    </w:p>
    <w:p>
      <w:pPr>
        <w:spacing w:after="160"/>
        <w:pBdr>
          <w:top w:val="single" w:sz="4" w:color="BFBFBF" w:space="6"/>
          <w:left w:val="single" w:sz="4" w:color="BFBFBF" w:space="6"/>
          <w:bottom w:val="single" w:sz="4" w:color="BFBFBF" w:space="6"/>
          <w:right w:val="single" w:sz="4" w:color="BFBFBF" w:space="6"/>
        </w:pBdr>
      </w:pPr>
      <w:r>
        <w:rPr>
          <w:rFonts w:ascii="Calibri" w:hAnsi="Calibri"/>
          <w:b w:val="0"/>
          <w:i/>
          <w:color w:val="595959"/>
          <w:sz w:val="20"/>
        </w:rPr>
        <w:t>Diese Vorlage dient als Ausgangspunkt für die Umsetzung der NIS2-Anforderungen und ersetzt keine individuelle Anpassung an die Gegebenheiten Ihres Unternehmens. NIS2Compass übernimmt keine Gewähr für Vollständigkeit, Aktualität oder Rechtssicherheit. Die Prüfung und Freigabe durch fachkundige Personen (ISB, Datenschutzbeauftragter, Rechtsberatung) liegt in Ihrer Verantwortung.</w:t>
      </w:r>
    </w:p>
    <w:p>
      <w:pPr>
        <w:pStyle w:val="Heading1"/>
        <w:spacing w:before="200" w:after="80"/>
      </w:pPr>
      <w:r>
        <w:rPr>
          <w:rFonts w:ascii="Calibri" w:hAnsi="Calibri"/>
          <w:b/>
          <w:i w:val="0"/>
          <w:color w:val="1B2B5A"/>
          <w:sz w:val="32"/>
        </w:rPr>
        <w:t>Nutzung und Einordnung</w:t>
      </w:r>
    </w:p>
    <w:p>
      <w:pPr>
        <w:spacing w:after="100" w:line="259" w:lineRule="auto"/>
      </w:pPr>
      <w:r>
        <w:rPr>
          <w:rFonts w:ascii="Calibri" w:hAnsi="Calibri"/>
          <w:b w:val="0"/>
          <w:i w:val="0"/>
          <w:sz w:val="20"/>
        </w:rPr>
        <w:t>Diese Formulierungshilfe unterstützt die Prüfung und Verhandlung von Sicherheitsklauseln mit unmittelbaren Anbietern und Diensteanbietern. Sie ist kein vollständiger Vertrag und keine Rechtsberatung. Passen Sie Fristen, Leistungsumfang, Datenkategorien, Ansprechpartner und Eskalationswege an die konkrete Leistung sowie Ihr Risiko an.</w:t>
      </w:r>
    </w:p>
    <w:p>
      <w:pPr>
        <w:spacing w:after="100" w:line="259" w:lineRule="auto"/>
      </w:pPr>
      <w:r>
        <w:rPr>
          <w:rFonts w:ascii="Calibri" w:hAnsi="Calibri"/>
          <w:b w:val="0"/>
          <w:i w:val="0"/>
          <w:sz w:val="20"/>
        </w:rPr>
        <w:t>§ 30 Absatz 2 Nummer 4 BSIG verlangt Sicherheit der Lieferkette einschließlich sicherheitsbezogener Aspekte der Beziehungen zu unmittelbaren Anbietern oder Diensteanbietern. Die Musterklauseln übersetzen diesen Risikomanagementbezug in eine nachvollziehbare Informationskette. Sie begründen keine gesetzliche BSI-Meldepflicht des Dienstleisters für seinen Kunden.</w:t>
      </w:r>
    </w:p>
    <w:p>
      <w:pPr>
        <w:pStyle w:val="Heading1"/>
        <w:spacing w:before="200" w:after="80"/>
      </w:pPr>
      <w:r>
        <w:rPr>
          <w:rFonts w:ascii="Calibri" w:hAnsi="Calibri"/>
          <w:b/>
          <w:i w:val="0"/>
          <w:color w:val="1B2B5A"/>
          <w:sz w:val="32"/>
        </w:rPr>
        <w:t>Kritikalität festlegen</w:t>
      </w:r>
    </w:p>
    <w:p>
      <w:pPr>
        <w:spacing w:after="100" w:line="259" w:lineRule="auto"/>
      </w:pPr>
      <w:r>
        <w:rPr>
          <w:rFonts w:ascii="Calibri" w:hAnsi="Calibri"/>
          <w:b w:val="0"/>
          <w:i w:val="0"/>
          <w:sz w:val="20"/>
        </w:rPr>
        <w:t>Kritische Dienstleistung: Der Dienstleister betreibt, administriert oder sichert Systeme, deren Ausfall oder Kompromittierung Ihre wesentlichen Dienste, privilegierten Zugänge, besonders schützenswerte Daten oder den Meldeprozess direkt beeinträchtigen kann. Vereinbaren Sie eine kurze, erreichbare Erstinformation und regelmäßige Updates.</w:t>
      </w:r>
    </w:p>
    <w:p>
      <w:pPr>
        <w:spacing w:after="100" w:line="259" w:lineRule="auto"/>
      </w:pPr>
      <w:r>
        <w:rPr>
          <w:rFonts w:ascii="Calibri" w:hAnsi="Calibri"/>
          <w:b w:val="0"/>
          <w:i w:val="0"/>
          <w:sz w:val="20"/>
        </w:rPr>
        <w:t>Sonstige Dienstleistung: Der Dienstleister hat keine unmittelbare Betriebs- oder Administrationsrolle für kritische Systeme. Eine angemessene, klar definierte Informationsfrist bleibt sinnvoll, darf aber proportional zum Risiko gestaltet sein.</w:t>
      </w:r>
    </w:p>
    <w:p>
      <w:pPr>
        <w:pStyle w:val="Heading1"/>
        <w:spacing w:before="200" w:after="80"/>
      </w:pPr>
      <w:r>
        <w:rPr>
          <w:rFonts w:ascii="Calibri" w:hAnsi="Calibri"/>
          <w:b/>
          <w:i w:val="0"/>
          <w:color w:val="1B2B5A"/>
          <w:sz w:val="32"/>
        </w:rPr>
        <w:t>Prüfliste vor der Unterschrift</w:t>
      </w:r>
    </w:p>
    <w:p>
      <w:pPr>
        <w:pStyle w:val="ListBullet"/>
        <w:spacing w:after="40"/>
      </w:pPr>
      <w:r>
        <w:rPr>
          <w:rFonts w:ascii="Calibri" w:hAnsi="Calibri"/>
          <w:b w:val="0"/>
          <w:i w:val="0"/>
          <w:sz w:val="20"/>
        </w:rPr>
        <w:t>Vorfallbegriff und die erfassten Leistungen sind eindeutig beschrieben.</w:t>
      </w:r>
    </w:p>
    <w:p>
      <w:pPr>
        <w:pStyle w:val="ListBullet"/>
        <w:spacing w:after="40"/>
      </w:pPr>
      <w:r>
        <w:rPr>
          <w:rFonts w:ascii="Calibri" w:hAnsi="Calibri"/>
          <w:b w:val="0"/>
          <w:i w:val="0"/>
          <w:sz w:val="20"/>
        </w:rPr>
        <w:t>Benachrichtigungskanal, 24/7-Kontakt und Eskalationsvertretung sind benannt und getestet.</w:t>
      </w:r>
    </w:p>
    <w:p>
      <w:pPr>
        <w:pStyle w:val="ListBullet"/>
        <w:spacing w:after="40"/>
      </w:pPr>
      <w:r>
        <w:rPr>
          <w:rFonts w:ascii="Calibri" w:hAnsi="Calibri"/>
          <w:b w:val="0"/>
          <w:i w:val="0"/>
          <w:sz w:val="20"/>
        </w:rPr>
        <w:t>Die Erstinformation nennt Kenntniserlangung, betroffene Dienste je Kunde, Auswirkungen, Sofortmaßnahmen und Kontaktperson.</w:t>
      </w:r>
    </w:p>
    <w:p>
      <w:pPr>
        <w:pStyle w:val="ListBullet"/>
        <w:spacing w:after="40"/>
      </w:pPr>
      <w:r>
        <w:rPr>
          <w:rFonts w:ascii="Calibri" w:hAnsi="Calibri"/>
          <w:b w:val="0"/>
          <w:i w:val="0"/>
          <w:sz w:val="20"/>
        </w:rPr>
        <w:t>Update-Takt, Abschlussbericht, Beweissicherung und Zusammenarbeit bei der Ursachenanalyse sind geregelt.</w:t>
      </w:r>
    </w:p>
    <w:p>
      <w:pPr>
        <w:pStyle w:val="ListBullet"/>
        <w:spacing w:after="40"/>
      </w:pPr>
      <w:r>
        <w:rPr>
          <w:rFonts w:ascii="Calibri" w:hAnsi="Calibri"/>
          <w:b w:val="0"/>
          <w:i w:val="0"/>
          <w:sz w:val="20"/>
        </w:rPr>
        <w:t>Unterauftragnehmer und wesentliche Cloud- oder Subdienstleister sind in die Informationskette einbezogen.</w:t>
      </w:r>
    </w:p>
    <w:p>
      <w:pPr>
        <w:pStyle w:val="ListBullet"/>
        <w:spacing w:after="40"/>
      </w:pPr>
      <w:r>
        <w:rPr>
          <w:rFonts w:ascii="Calibri" w:hAnsi="Calibri"/>
          <w:b w:val="0"/>
          <w:i w:val="0"/>
          <w:sz w:val="20"/>
        </w:rPr>
        <w:t>Vertraulichkeit, Datenschutz, sichere Übermittlung und Aufbewahrung von Nachweisen sind abgestimmt.</w:t>
      </w:r>
    </w:p>
    <w:p>
      <w:pPr>
        <w:pStyle w:val="ListBullet"/>
        <w:spacing w:after="40"/>
      </w:pPr>
      <w:r>
        <w:rPr>
          <w:rFonts w:ascii="Calibri" w:hAnsi="Calibri"/>
          <w:b w:val="0"/>
          <w:i w:val="0"/>
          <w:sz w:val="20"/>
        </w:rPr>
        <w:t>Die Klausel ist mit Incident-Response-Plan, Versicherungsbedingungen und Datenschutzvereinbarungen abgeglichen.</w:t>
      </w:r>
    </w:p>
    <w:p>
      <w:pPr>
        <w:pStyle w:val="Heading1"/>
        <w:spacing w:before="200" w:after="80"/>
      </w:pPr>
      <w:r>
        <w:rPr>
          <w:rFonts w:ascii="Calibri" w:hAnsi="Calibri"/>
          <w:b/>
          <w:i w:val="0"/>
          <w:color w:val="1B2B5A"/>
          <w:sz w:val="32"/>
        </w:rPr>
        <w:t>Musterklauseln für kritische Dienstleistungen</w:t>
      </w:r>
    </w:p>
    <w:p>
      <w:pPr>
        <w:pStyle w:val="Heading2"/>
        <w:spacing w:before="200" w:after="80"/>
      </w:pPr>
      <w:r>
        <w:rPr>
          <w:rFonts w:ascii="Calibri" w:hAnsi="Calibri"/>
          <w:b/>
          <w:i w:val="0"/>
          <w:color w:val="1B2B5A"/>
          <w:sz w:val="24"/>
        </w:rPr>
        <w:t>1. Sicherheitsvorfall und Erstinformation</w:t>
      </w:r>
    </w:p>
    <w:p>
      <w:pPr>
        <w:spacing w:after="100" w:line="259" w:lineRule="auto"/>
      </w:pPr>
      <w:r>
        <w:rPr>
          <w:rFonts w:ascii="Calibri" w:hAnsi="Calibri"/>
          <w:b w:val="0"/>
          <w:i w:val="0"/>
          <w:sz w:val="20"/>
        </w:rPr>
        <w:t>Der Dienstleister informiert den Auftraggeber unverzüglich, spätestens innerhalb von [4] Stunden nach Kenntniserlangung, über jeden Sicherheitsvorfall, der die Vertraulichkeit, Integrität oder Verfügbarkeit der für den Auftraggeber erbrachten Leistung beeinträchtigt oder beeinträchtigen kann. Die Benachrichtigung erfolgt über [24/7-Kontaktweg] und zusätzlich an [E-Mail/Portal]. Die Frist gilt auch außerhalb üblicher Geschäftszeiten.</w:t>
      </w:r>
    </w:p>
    <w:p>
      <w:pPr>
        <w:pStyle w:val="Heading2"/>
        <w:spacing w:before="200" w:after="80"/>
      </w:pPr>
      <w:r>
        <w:rPr>
          <w:rFonts w:ascii="Calibri" w:hAnsi="Calibri"/>
          <w:b/>
          <w:i w:val="0"/>
          <w:color w:val="1B2B5A"/>
          <w:sz w:val="24"/>
        </w:rPr>
        <w:t>2. Mindestinhalt der Erstinformation</w:t>
      </w:r>
    </w:p>
    <w:p>
      <w:pPr>
        <w:spacing w:after="100" w:line="259" w:lineRule="auto"/>
      </w:pPr>
      <w:r>
        <w:rPr>
          <w:rFonts w:ascii="Calibri" w:hAnsi="Calibri"/>
          <w:b w:val="0"/>
          <w:i w:val="0"/>
          <w:sz w:val="20"/>
        </w:rPr>
        <w:t>Die Erstinformation enthält, soweit zu diesem Zeitpunkt bekannt: Zeitpunkt und Quelle der Kenntniserlangung; betroffene Leistung, Systeme, Zugänge und Datenkategorien; mögliche Auswirkungen für den Auftraggeber; vermutete Ursache oder Angriffsmethode; bereits ergriffene Maßnahmen; einen erreichbaren Ansprechpartner; sowie Zeitpunkt und Kanal des nächsten Updates. Fehlende Angaben werden nachgereicht. Die Erstinformation darf nicht bis zur vollständigen Forensik zurückgehalten werden.</w:t>
      </w:r>
    </w:p>
    <w:p>
      <w:pPr>
        <w:pStyle w:val="Heading2"/>
        <w:spacing w:before="200" w:after="80"/>
      </w:pPr>
      <w:r>
        <w:rPr>
          <w:rFonts w:ascii="Calibri" w:hAnsi="Calibri"/>
          <w:b/>
          <w:i w:val="0"/>
          <w:color w:val="1B2B5A"/>
          <w:sz w:val="24"/>
        </w:rPr>
        <w:t>3. Statusupdates und Abschlussbericht</w:t>
      </w:r>
    </w:p>
    <w:p>
      <w:pPr>
        <w:spacing w:after="100" w:line="259" w:lineRule="auto"/>
      </w:pPr>
      <w:r>
        <w:rPr>
          <w:rFonts w:ascii="Calibri" w:hAnsi="Calibri"/>
          <w:b w:val="0"/>
          <w:i w:val="0"/>
          <w:sz w:val="20"/>
        </w:rPr>
        <w:t>Der Dienstleister übermittelt bei wesentlichen Änderungen unverzüglich, ansonsten mindestens alle [12/24] Stunden, ein Statusupdate. Spätestens [10] Arbeitstage nach Stabilisierung legt er einen Abschlussbericht mit Zeitlinie, Ursache, betroffenen Daten und Diensten, Beweissicherungsstatus, umgesetzten und geplanten Abhilfemaßnahmen sowie Maßnahmen gegen Wiederholung vor.</w:t>
      </w:r>
    </w:p>
    <w:p>
      <w:pPr>
        <w:pStyle w:val="Heading2"/>
        <w:spacing w:before="200" w:after="80"/>
      </w:pPr>
      <w:r>
        <w:rPr>
          <w:rFonts w:ascii="Calibri" w:hAnsi="Calibri"/>
          <w:b/>
          <w:i w:val="0"/>
          <w:color w:val="1B2B5A"/>
          <w:sz w:val="24"/>
        </w:rPr>
        <w:t>4. Zusammenarbeit und Nachweise</w:t>
      </w:r>
    </w:p>
    <w:p>
      <w:pPr>
        <w:spacing w:after="100" w:line="259" w:lineRule="auto"/>
      </w:pPr>
      <w:r>
        <w:rPr>
          <w:rFonts w:ascii="Calibri" w:hAnsi="Calibri"/>
          <w:b w:val="0"/>
          <w:i w:val="0"/>
          <w:sz w:val="20"/>
        </w:rPr>
        <w:t>Der Dienstleister unterstützt den Auftraggeber bei dessen Erheblichkeitsbewertung, Kundenkommunikation, Dokumentation und gegebenenfalls Meldung an zuständige Stellen. Er stellt die hierfür erforderlichen Informationen, Ansprechpartner und verkehrsfähigen Nachweise im gesetzlich zulässigen und vertraglich vereinbarten Umfang zeitnah bereit. Der Auftraggeber bleibt für eigene gesetzliche Bewertungen und Meldungen verantwortlich.</w:t>
      </w:r>
    </w:p>
    <w:p>
      <w:pPr>
        <w:pStyle w:val="Heading2"/>
        <w:spacing w:before="200" w:after="80"/>
      </w:pPr>
      <w:r>
        <w:rPr>
          <w:rFonts w:ascii="Calibri" w:hAnsi="Calibri"/>
          <w:b/>
          <w:i w:val="0"/>
          <w:color w:val="1B2B5A"/>
          <w:sz w:val="24"/>
        </w:rPr>
        <w:t>5. Unterauftragnehmer</w:t>
      </w:r>
    </w:p>
    <w:p>
      <w:pPr>
        <w:spacing w:after="100" w:line="259" w:lineRule="auto"/>
      </w:pPr>
      <w:r>
        <w:rPr>
          <w:rFonts w:ascii="Calibri" w:hAnsi="Calibri"/>
          <w:b w:val="0"/>
          <w:i w:val="0"/>
          <w:sz w:val="20"/>
        </w:rPr>
        <w:t>Der Dienstleister verpflichtet unmittelbare Unterauftragnehmer und weitere für die Leistung wesentliche Anbieter zu gleichwertigen Informations- und Kooperationspflichten. Er bleibt gegenüber dem Auftraggeber für die rechtzeitige Weiterleitung, Plausibilisierung und Koordination der Informationen verantwortlich.</w:t>
      </w:r>
    </w:p>
    <w:p>
      <w:pPr>
        <w:pStyle w:val="Heading2"/>
        <w:spacing w:before="200" w:after="80"/>
      </w:pPr>
      <w:r>
        <w:rPr>
          <w:rFonts w:ascii="Calibri" w:hAnsi="Calibri"/>
          <w:b/>
          <w:i w:val="0"/>
          <w:color w:val="1B2B5A"/>
          <w:sz w:val="24"/>
        </w:rPr>
        <w:t>6. Sichere Kommunikation und Vertraulichkeit</w:t>
      </w:r>
    </w:p>
    <w:p>
      <w:pPr>
        <w:spacing w:after="100" w:line="259" w:lineRule="auto"/>
      </w:pPr>
      <w:r>
        <w:rPr>
          <w:rFonts w:ascii="Calibri" w:hAnsi="Calibri"/>
          <w:b w:val="0"/>
          <w:i w:val="0"/>
          <w:sz w:val="20"/>
        </w:rPr>
        <w:t>Vorfallinformationen werden über [verschlüsseltes Portal / verschlüsselte E-Mail / Notfalltelefonnummer] übermittelt. Beide Parteien behandeln technische Details, Beweise und personenbezogene Daten vertraulich. Erforderliche Datenschutzpflichten und bestehende Auftragsverarbeitungsvereinbarungen bleiben unberührt.</w:t>
      </w:r>
    </w:p>
    <w:p>
      <w:pPr>
        <w:pStyle w:val="Heading1"/>
        <w:spacing w:before="200" w:after="80"/>
      </w:pPr>
      <w:r>
        <w:rPr>
          <w:rFonts w:ascii="Calibri" w:hAnsi="Calibri"/>
          <w:b/>
          <w:i w:val="0"/>
          <w:color w:val="1B2B5A"/>
          <w:sz w:val="32"/>
        </w:rPr>
        <w:t>Musterklausel für sonstige Dienstleistungen</w:t>
      </w:r>
    </w:p>
    <w:p>
      <w:pPr>
        <w:spacing w:after="100" w:line="259" w:lineRule="auto"/>
      </w:pPr>
      <w:r>
        <w:rPr>
          <w:rFonts w:ascii="Calibri" w:hAnsi="Calibri"/>
          <w:b w:val="0"/>
          <w:i w:val="0"/>
          <w:sz w:val="20"/>
        </w:rPr>
        <w:t>Bei sonstigen Dienstleistungen informiert der Dienstleister den Auftraggeber unverzüglich, spätestens innerhalb von [24] Stunden nach Kenntniserlangung, über Sicherheitsvorfälle mit möglicher Auswirkung auf die vertragliche Leistung. Die Information umfasst mindestens Zeitpunkt der Kenntniserlangung, betroffene Leistung, erste Auswirkung, Sofortmaßnahmen und Kontaktperson. Weitere Informationen werden nachgereicht, sobald sie belastbar vorliegen.</w:t>
      </w:r>
    </w:p>
    <w:p>
      <w:pPr>
        <w:pStyle w:val="Heading1"/>
        <w:spacing w:before="200" w:after="80"/>
      </w:pPr>
      <w:r>
        <w:rPr>
          <w:rFonts w:ascii="Calibri" w:hAnsi="Calibri"/>
          <w:b/>
          <w:i w:val="0"/>
          <w:color w:val="1B2B5A"/>
          <w:sz w:val="32"/>
        </w:rPr>
        <w:t>Abstimmung mit Ihrem Meldeprozess</w:t>
      </w:r>
    </w:p>
    <w:p>
      <w:pPr>
        <w:spacing w:after="100" w:line="259" w:lineRule="auto"/>
      </w:pPr>
      <w:r>
        <w:rPr>
          <w:rFonts w:ascii="Calibri" w:hAnsi="Calibri"/>
          <w:b w:val="0"/>
          <w:i w:val="0"/>
          <w:sz w:val="20"/>
        </w:rPr>
        <w:t>Dokumentieren Sie getrennt: Kenntniserlangung beim Dienstleister, Eingang der Information bei Ihnen, Ihre eigene Erheblichkeitsbewertung und gegebenenfalls den Zeitpunkt einer BSI-Meldung. Die vertragliche Frist des Dienstleisters ersetzt nicht die eigene Frist nach § 32 BSIG.</w:t>
      </w:r>
    </w:p>
    <w:p>
      <w:pPr>
        <w:spacing w:after="100" w:line="259" w:lineRule="auto"/>
      </w:pPr>
      <w:r>
        <w:rPr>
          <w:rFonts w:ascii="Calibri" w:hAnsi="Calibri"/>
          <w:b w:val="0"/>
          <w:i w:val="0"/>
          <w:sz w:val="20"/>
        </w:rPr>
        <w:t>Sind personenbezogene Daten betroffen, prüfen Sie parallel Art. 33 DSGVO. Der Auftragsverarbeiter muss den Verantwortlichen nach Art. 33 Abs. 2 DSGVO unverzüglich über eine Verletzung des Schutzes personenbezogener Daten informieren. Diese Prüfung ist von der BSI-Meldung getrennt zu führen.</w:t>
      </w:r>
    </w:p>
    <w:p>
      <w:pPr>
        <w:spacing w:after="100" w:line="259" w:lineRule="auto"/>
      </w:pPr>
      <w:r>
        <w:rPr>
          <w:rFonts w:ascii="Calibri" w:hAnsi="Calibri"/>
          <w:b w:val="0"/>
          <w:i w:val="0"/>
          <w:sz w:val="20"/>
        </w:rPr>
        <w:t>Vor Unterzeichnung sollten ISB, Einkauf, Fachbereich, Datenschutz und Rechtsberatung gemeinsam prüfen, ob die gewählten Fristen technisch und organisatorisch haltbar sind. Eine bloß ambitionierte Frist ohne 24/7-Zuständigkeit, erreichbare Kontakte und getesteten Meldeweg schafft im Ernstfall kein belastbares Kontrollniveau.</w:t>
      </w:r>
    </w:p>
    <w:p>
      <w:pPr>
        <w:pStyle w:val="Heading1"/>
        <w:spacing w:before="200" w:after="80"/>
      </w:pPr>
      <w:r>
        <w:rPr>
          <w:rFonts w:ascii="Calibri" w:hAnsi="Calibri"/>
          <w:b/>
          <w:i w:val="0"/>
          <w:color w:val="1B2B5A"/>
          <w:sz w:val="32"/>
        </w:rPr>
        <w:t>Hinweise zur Anpassung</w:t>
      </w:r>
    </w:p>
    <w:p>
      <w:pPr>
        <w:spacing w:after="100" w:line="259" w:lineRule="auto"/>
      </w:pPr>
      <w:r>
        <w:rPr>
          <w:rFonts w:ascii="Calibri" w:hAnsi="Calibri"/>
          <w:b w:val="0"/>
          <w:i w:val="0"/>
          <w:sz w:val="20"/>
        </w:rPr>
        <w:t>Fristen auswählen: [4] Stunden für eine kritische Erstinformation sind ein Vertragsvorschlag, keine gesetzliche NIS2-Frist. Wählen Sie die Zeit so, dass der Dienstleister den Fall erkennen, intern freigeben und den vereinbarten Kanal tatsächlich nutzen kann. Für besonders kritische Leistungen kann eine kürzere Eskalation sinnvoll sein; für andere Leistungen kann eine 24-Stunden-Frist ausreichen. Entscheidend ist nicht die schärfste Zahl, sondern eine im Ernstfall belastbare Informationskette.</w:t>
      </w:r>
    </w:p>
    <w:p>
      <w:pPr>
        <w:spacing w:after="100" w:line="259" w:lineRule="auto"/>
      </w:pPr>
      <w:r>
        <w:rPr>
          <w:rFonts w:ascii="Calibri" w:hAnsi="Calibri"/>
          <w:b w:val="0"/>
          <w:i w:val="0"/>
          <w:sz w:val="20"/>
        </w:rPr>
        <w:t>Leistungsbezug konkretisieren: Ergänzen Sie eine Anlage, die kritische Dienste, Mandanten, Schnittstellen, privilegierte Konten, Datenarten und Notfallkontakte nennt. Eine pauschale Klausel ohne Leistungsbezug führt bei Multi-Tenant- oder Cloud-Umgebungen häufig zu unbrauchbaren Sammelmeldungen. Der Dienstleister muss erkennen können, welche Kunden, Dienste und Ansprechpartner er einzeln informieren soll.</w:t>
      </w:r>
    </w:p>
    <w:p>
      <w:pPr>
        <w:spacing w:after="100" w:line="259" w:lineRule="auto"/>
      </w:pPr>
      <w:r>
        <w:rPr>
          <w:rFonts w:ascii="Calibri" w:hAnsi="Calibri"/>
          <w:b w:val="0"/>
          <w:i w:val="0"/>
          <w:sz w:val="20"/>
        </w:rPr>
        <w:t>Kommunikation und Nachweis: Definieren Sie ein primäres und ein ausfallsicheres Kommunikationsmittel. Legen Sie fest, wer den Zugang zu einem Notfallportal hat und wie Zugänge bei Personalwechseln geprüft werden. Halten Sie die Erstinformation, Folgeupdates, Eskalationsentscheidungen und den Abschlussbericht so fest, dass der Ablauf später nachvollziehbar bleibt. Die Klausel unterstützt die Prozessdisziplin; sie ersetzt keinen geübten Meldeprozess.</w:t>
      </w:r>
    </w:p>
    <w:p>
      <w:pPr>
        <w:spacing w:after="100" w:line="259" w:lineRule="auto"/>
      </w:pPr>
      <w:r>
        <w:rPr>
          <w:rFonts w:ascii="Calibri" w:hAnsi="Calibri"/>
          <w:b w:val="0"/>
          <w:i w:val="0"/>
          <w:sz w:val="20"/>
        </w:rPr>
        <w:t>Grenzen der Klausel: Die Formulierung kann keine regulatorischen Pflichten auf den Dienstleister verlagern, die allein den Kunden treffen. Sie ersetzt weder den Incident-Response-Plan noch Datenschutz-, Geheimhaltungs- oder Auftragsverarbeitungsvereinbarungen. Bei Standardverträgen großer Anbieter sind Änderungen oft nicht erreichbar. Dann dokumentieren Sie kompensierende Kontrollen, zum Beispiel benannte Statusseiten, Notfallkontakte, Zertifikate, eigene Monitoring- und Ausweichmaßnahmen sowie eine Risikobewertung.</w:t>
      </w:r>
    </w:p>
    <w:p>
      <w:pPr>
        <w:pStyle w:val="Heading1"/>
        <w:spacing w:before="200" w:after="80"/>
      </w:pPr>
      <w:r>
        <w:rPr>
          <w:rFonts w:ascii="Calibri" w:hAnsi="Calibri"/>
          <w:b/>
          <w:i w:val="0"/>
          <w:color w:val="1B2B5A"/>
          <w:sz w:val="32"/>
        </w:rPr>
        <w:t>Quellen und Redaktionsnotiz</w:t>
      </w:r>
    </w:p>
    <w:p>
      <w:pPr>
        <w:spacing w:after="100" w:line="259" w:lineRule="auto"/>
      </w:pPr>
      <w:r>
        <w:rPr>
          <w:rFonts w:ascii="Calibri" w:hAnsi="Calibri"/>
          <w:b w:val="0"/>
          <w:i w:val="0"/>
          <w:sz w:val="20"/>
        </w:rPr>
        <w:t>Primärquellen, abgerufen am 26.08.2026: § 30 BSIG (Lieferkettensicherheit), https://www.gesetze-im-internet.de/bsig_2025/__30.html ; § 32 BSIG (Meldepflichten), https://www.gesetze-im-internet.de/bsig_2025/__32.html ; Art. 21 Abs. 2 Buchstabe d Richtlinie (EU) 2022/2555, https://eur-lex.europa.eu/legal-content/DE/TXT/?uri=CELEX:32022L2555 ; Art. 33 DSGVO (Meldung von Verletzungen des Schutzes personenbezogener Daten), https://eur-lex.europa.eu/legal-content/DE/TXT/?uri=CELEX:32016R0679 .</w:t>
      </w:r>
    </w:p>
    <w:p>
      <w:pPr>
        <w:spacing w:after="0" w:line="259" w:lineRule="auto"/>
      </w:pPr>
      <w:r>
        <w:rPr>
          <w:rFonts w:ascii="Calibri" w:hAnsi="Calibri"/>
          <w:b w:val="0"/>
          <w:i w:val="0"/>
          <w:sz w:val="20"/>
        </w:rPr>
        <w:t>Redaktionsstatus: veröffentlichungsreif. Faktencheck der zitierten Rechtsgrundlagen gegen die Primärquellen, redaktionelle Prüfung und Layout-Sichtprüfung des PDF (3 Seiten) abgeschlossen.</w:t>
      </w:r>
    </w:p>
    <w:sectPr w:rsidR="00FC693F" w:rsidRPr="0006063C" w:rsidSect="00034616">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b/>
      <w:bCs/>
      <w:color w:val="1B2B5A"/>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b/>
      <w:bCs/>
      <w:color w:val="1B2B5A"/>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