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color w:val="1E3A8A"/>
          <w:sz w:val="40"/>
        </w:rPr>
        <w:t>§ 32-Meldevorbereitungsbogen</w:t>
      </w:r>
    </w:p>
    <w:p>
      <w:pPr>
        <w:spacing w:after="160"/>
      </w:pPr>
      <w:r>
        <w:rPr>
          <w:rFonts w:ascii="Calibri" w:hAnsi="Calibri"/>
          <w:color w:val="5F6571"/>
          <w:sz w:val="21"/>
        </w:rPr>
        <w:t>Vorbereitung der BSI-Meldung nach § 32 BSIG, Stand: August 2026</w:t>
      </w:r>
    </w:p>
    <w:p>
      <w:pPr>
        <w:spacing w:after="200"/>
      </w:pPr>
      <w:r>
        <w:rPr>
          <w:rFonts w:ascii="Calibri" w:hAnsi="Calibri"/>
          <w:sz w:val="19"/>
        </w:rPr>
        <w:t>Füllen Sie diesen Bogen aus, bevor Sie das BSI-Portal (portal.bsi.bund.de) öffnen. Das Portal ist ein Online-Formular ohne Entwurfsmodus. Wer erst dort zu formulieren beginnt, verliert unter Zeitdruck wertvolle Minuten. Ein Abschnitt je regulärer Meldestufe, in der Reihenfolge, in der sie fällig werden. Die Zwischenmeldung nach § 32 Abs. 1 Nr. 3 BSIG ist keine vierte reguläre Stufe, sondern ein Sonderfall, der nur auf Ersuchen des BSI fällig wird; der Zusatzblock dazu steht nach den drei Hauptabschnitten.</w:t>
      </w:r>
    </w:p>
    <w:p>
      <w:pPr>
        <w:spacing w:after="80"/>
      </w:pPr>
      <w:r>
        <w:rPr>
          <w:rFonts w:ascii="Calibri" w:hAnsi="Calibri"/>
          <w:b/>
          <w:color w:val="1E3A8A"/>
          <w:sz w:val="24"/>
        </w:rPr>
        <w:t>Kopfblock</w:t>
      </w:r>
    </w:p>
    <w:tbl>
      <w:tblPr>
        <w:tblW w:type="auto" w:w="0"/>
        <w:jc w:val="center"/>
        <w:tblLayout w:type="fixed"/>
        <w:tblLook w:firstColumn="1" w:firstRow="1" w:lastColumn="0" w:lastRow="0" w:noHBand="0" w:noVBand="1" w:val="04A0"/>
      </w:tblPr>
      <w:tblGrid>
        <w:gridCol w:w="5046"/>
        <w:gridCol w:w="5046"/>
      </w:tblGrid>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Unternehmen / Einrichtung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Sektor / Einrichtungstyp (Anhang I/II BSIG)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Vorfall-ID (aus dem BSI-Portal, nach der ersten Meldung eintragen)</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Entdeckungszeitpunkt (Datum, Uhrzeit)</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Zeitpunkt der Kenntniserlangung (Datum, Uhrzeit), fristauslösend</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Meldende Person (Name, Funktion, Telefon, E-Mail)</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Registrierungsnummer beim BSI (Mein Unternehmenskonto)</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bl>
    <w:p>
      <w:pPr>
        <w:spacing w:before="60" w:after="80"/>
      </w:pPr>
      <w:r>
        <w:rPr>
          <w:rFonts w:ascii="Calibri" w:hAnsi="Calibri"/>
          <w:i/>
          <w:color w:val="5F6571"/>
          <w:sz w:val="17"/>
        </w:rPr>
        <w:t>Die 24-Stunden- und die 72-Stunden-Frist rechnen sich ab der Kenntniserlangung, nicht ab dem Entdeckungszeitpunkt. Kenntnis liegt vor, sobald eine für die Bewertung zuständige Person oder Stelle im Unternehmen den Vorfall als möglicherweise erheblich einordnen kann. Das kann auch aus einem ausgewerteten automatisierten Alarm folgen; ein reiner, noch nicht ausgewerteter Maschinen-Alert genügt dafür in der Regel nicht. Dokumentieren Sie den zugrunde gelegten Zeitpunkt nachvollziehbar.</w:t>
      </w:r>
    </w:p>
    <w:p>
      <w:pPr>
        <w:spacing w:before="320" w:after="40"/>
        <w:keepNext/>
      </w:pPr>
      <w:r>
        <w:rPr>
          <w:rFonts w:ascii="Calibri" w:hAnsi="Calibri"/>
          <w:b/>
          <w:color w:val="1E3A8A"/>
          <w:sz w:val="28"/>
        </w:rPr>
        <w:t>1.  Frühe Erstmeldung</w:t>
      </w:r>
    </w:p>
    <w:p>
      <w:pPr>
        <w:spacing w:after="80"/>
        <w:keepNext/>
      </w:pPr>
      <w:r>
        <w:rPr>
          <w:rFonts w:ascii="Calibri" w:hAnsi="Calibri"/>
          <w:b/>
          <w:color w:val="0E7490"/>
          <w:sz w:val="19"/>
        </w:rPr>
        <w:t>Frist: 24 Stunden nach Kenntniserlangung, § 32 Abs. 1 Nr. 1 BSIG</w:t>
      </w:r>
    </w:p>
    <w:p>
      <w:pPr>
        <w:spacing w:after="120"/>
        <w:keepNext/>
      </w:pPr>
      <w:r>
        <w:rPr>
          <w:rFonts w:ascii="Calibri" w:hAnsi="Calibri"/>
          <w:i/>
          <w:color w:val="5F6571"/>
          <w:sz w:val="18"/>
        </w:rPr>
        <w:t>Reine Signalmeldung. Verlangt keine vollständige Fallbeschreibung: Eine unvollständige, aber pünktliche Meldung ist besser als eine verspätete vollständige.</w:t>
      </w:r>
    </w:p>
    <w:tbl>
      <w:tblPr>
        <w:tblW w:type="auto" w:w="0"/>
        <w:jc w:val="center"/>
        <w:tblLayout w:type="fixed"/>
        <w:tblLook w:firstColumn="1" w:firstRow="1" w:lastColumn="0" w:lastRow="0" w:noHBand="0" w:noVBand="1" w:val="04A0"/>
      </w:tblPr>
      <w:tblGrid>
        <w:gridCol w:w="5046"/>
        <w:gridCol w:w="5046"/>
      </w:tblGrid>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Einstufung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t>☐ erheblicher Sicherheitsvorfall (meldepflichtig)   ☐ Sicherheitsvorfall (freiwillig)   ☐ Beinahevorfall (freiwillig)</w:t>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Kurzbeschreibung des Vorfalls (Freitext)</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Verdacht auf rechtswidrige oder böswillige Handlung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t>☐ Ja   ☐ Nein   ☐ unklar</w:t>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Mögliche grenzüberschreitende Wirkung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t>☐ Ja   ☐ Nein   ☐ unklar</w:t>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Erste Sofortmaßnahmen</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Kontaktperson für Rückfragen des BSI (nur falls abweichend vom Kopfblock)</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bl>
    <w:p>
      <w:pPr>
        <w:spacing w:before="320" w:after="40"/>
        <w:keepNext/>
      </w:pPr>
      <w:r>
        <w:rPr>
          <w:rFonts w:ascii="Calibri" w:hAnsi="Calibri"/>
          <w:b/>
          <w:color w:val="1E3A8A"/>
          <w:sz w:val="28"/>
        </w:rPr>
        <w:t>2.  Meldung („Vollmeldung“)</w:t>
      </w:r>
    </w:p>
    <w:p>
      <w:pPr>
        <w:spacing w:after="80"/>
        <w:keepNext/>
      </w:pPr>
      <w:r>
        <w:rPr>
          <w:rFonts w:ascii="Calibri" w:hAnsi="Calibri"/>
          <w:b/>
          <w:color w:val="0E7490"/>
          <w:sz w:val="19"/>
        </w:rPr>
        <w:t>Frist: 72 Stunden nach Kenntniserlangung, § 32 Abs. 1 Nr. 2 BSIG</w:t>
      </w:r>
    </w:p>
    <w:p>
      <w:pPr>
        <w:spacing w:after="120"/>
        <w:keepNext/>
      </w:pPr>
      <w:r>
        <w:rPr>
          <w:rFonts w:ascii="Calibri" w:hAnsi="Calibri"/>
          <w:i/>
          <w:color w:val="5F6571"/>
          <w:sz w:val="18"/>
        </w:rPr>
        <w:t>Aktualisierung derselben Vorfall-ID, kein neues Formular. Bestätigt oder korrigiert die frühe Erstmeldung und liefert erstmals eine Bewertung.</w:t>
      </w:r>
    </w:p>
    <w:tbl>
      <w:tblPr>
        <w:tblW w:type="auto" w:w="0"/>
        <w:jc w:val="center"/>
        <w:tblLayout w:type="fixed"/>
        <w:tblLook w:firstColumn="1" w:firstRow="1" w:lastColumn="0" w:lastRow="0" w:noHBand="0" w:noVBand="1" w:val="04A0"/>
      </w:tblPr>
      <w:tblGrid>
        <w:gridCol w:w="5046"/>
        <w:gridCol w:w="5046"/>
      </w:tblGrid>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Betroffenes Schutzziel</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t>☐ Vertraulichkeit   ☐ Integrität   ☐ Verfügbarkeit</w:t>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Angriffstyp</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t>☐ gezielt   ☐ ungezielt   ☐ unklar</w:t>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Ursache (auch vorläufig)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Kompromittierungsindikatoren (IOCs), soweit vorhanden</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Betroffene Systeme / Nutzer (geschätzt)</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Vorläufiger Schweregrad</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Auswirkungen (z. B. Betriebsunterbrechung, betroffene Dienstleistung)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Finanzieller Schaden (grobe Schätzung)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Strafanzeige gestellt / BKA-Weiterleitung gewünscht</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t>☐ Ja   ☐ Nein</w:t>
            </w:r>
          </w:p>
        </w:tc>
      </w:tr>
    </w:tbl>
    <w:p>
      <w:pPr>
        <w:spacing w:before="320" w:after="40"/>
        <w:keepNext/>
      </w:pPr>
      <w:r>
        <w:rPr>
          <w:rFonts w:ascii="Calibri" w:hAnsi="Calibri"/>
          <w:b/>
          <w:color w:val="1E3A8A"/>
          <w:sz w:val="28"/>
        </w:rPr>
        <w:t>3.  Abschlussmeldung</w:t>
      </w:r>
    </w:p>
    <w:p>
      <w:pPr>
        <w:spacing w:after="80"/>
        <w:keepNext/>
      </w:pPr>
      <w:r>
        <w:rPr>
          <w:rFonts w:ascii="Calibri" w:hAnsi="Calibri"/>
          <w:b/>
          <w:color w:val="0E7490"/>
          <w:sz w:val="19"/>
        </w:rPr>
        <w:t>Frist: 1 Monat nach Übermittlung der 72-Stunden-Meldung, § 32 Abs. 1 Nr. 4 BSIG</w:t>
      </w:r>
    </w:p>
    <w:p>
      <w:pPr>
        <w:spacing w:after="120"/>
        <w:keepNext/>
      </w:pPr>
      <w:r>
        <w:rPr>
          <w:rFonts w:ascii="Calibri" w:hAnsi="Calibri"/>
          <w:i/>
          <w:color w:val="5F6571"/>
          <w:sz w:val="18"/>
        </w:rPr>
        <w:t>Vollständige Dokumentation: konkrete Ursache statt Kategorie, alle umgesetzten und laufenden Abhilfemaßnahmen, finaler Schweregrad. Ist der Vorfall nach einem Monat noch nicht abgeschlossen, tritt an die Stelle der Abschlussmeldung eine Fortschrittsmeldung (§ 32 Abs. 2 BSIG). Die Abschlussmeldung bleibt gleichwohl geschuldet und ist nach abschließender Bearbeitung des Vorfalls nachzureichen; der Bogen wird dann später erneut ausgefüllt.</w:t>
      </w:r>
    </w:p>
    <w:tbl>
      <w:tblPr>
        <w:tblW w:type="auto" w:w="0"/>
        <w:jc w:val="center"/>
        <w:tblLayout w:type="fixed"/>
        <w:tblLook w:firstColumn="1" w:firstRow="1" w:lastColumn="0" w:lastRow="0" w:noHBand="0" w:noVBand="1" w:val="04A0"/>
      </w:tblPr>
      <w:tblGrid>
        <w:gridCol w:w="5046"/>
        <w:gridCol w:w="5046"/>
      </w:tblGrid>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Vorfall abgeschlossen</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t>☐ Ja, weiter unten ausfüllen   ☐ Nein, Fortschrittsmeldung statt Abschlussmeldung</w:t>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Ursache als Befund (welche Schwachstelle, seit wann bekannt, wie ausgenutzt; nicht nur „Phishing“ o. Ä.)</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Vollständige Beschreibung des Ablaufs</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Umgesetzte Abhilfemaßnahmen</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Laufende / geplante Abhilfemaßnahmen</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Grenzüberschreitende Auswirkungen (falls zutreffend)</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Finaler Schweregrad</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bl>
    <w:p>
      <w:pPr>
        <w:spacing w:before="320" w:after="40"/>
        <w:keepNext/>
      </w:pPr>
      <w:r>
        <w:rPr>
          <w:rFonts w:ascii="Calibri" w:hAnsi="Calibri"/>
          <w:b/>
          <w:color w:val="1E3A8A"/>
          <w:sz w:val="28"/>
        </w:rPr>
        <w:t>Zwischenmeldung (§ 32 Abs. 1 Nr. 3 BSIG), Sonderfall</w:t>
      </w:r>
    </w:p>
    <w:p>
      <w:pPr>
        <w:spacing w:after="80"/>
        <w:keepNext/>
      </w:pPr>
      <w:r>
        <w:rPr>
          <w:rFonts w:ascii="Calibri" w:hAnsi="Calibri"/>
          <w:b/>
          <w:color w:val="0E7490"/>
          <w:sz w:val="19"/>
        </w:rPr>
        <w:t>Kein festes Fristraster: nur auf Ersuchen des BSI, § 32 Abs. 1 Nr. 3 BSIG</w:t>
      </w:r>
    </w:p>
    <w:p>
      <w:pPr>
        <w:spacing w:after="120"/>
        <w:keepNext/>
      </w:pPr>
      <w:r>
        <w:rPr>
          <w:rFonts w:ascii="Calibri" w:hAnsi="Calibri"/>
          <w:i/>
          <w:color w:val="5F6571"/>
          <w:sz w:val="18"/>
        </w:rPr>
        <w:t>Eine Zwischenmeldung über relevante Statusaktualisierungen ist nur zu übermitteln, wenn das BSI sie ausdrücklich anfordert. Es gilt kein festes Fristraster; maßgeblich ist die im Ersuchen genannte Frist. Aktualisierung derselben Vorfall-ID, kein neues Formular.</w:t>
      </w:r>
    </w:p>
    <w:tbl>
      <w:tblPr>
        <w:tblW w:type="auto" w:w="0"/>
        <w:jc w:val="center"/>
        <w:tblLayout w:type="fixed"/>
        <w:tblLook w:firstColumn="1" w:firstRow="1" w:lastColumn="0" w:lastRow="0" w:noHBand="0" w:noVBand="1" w:val="04A0"/>
      </w:tblPr>
      <w:tblGrid>
        <w:gridCol w:w="5046"/>
        <w:gridCol w:w="5046"/>
      </w:tblGrid>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Datum des BSI-Ersuchens</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Height w:val="1134" w:hRule="atLeas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Angeforderte Statusaktualisierung (Freitext)</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bl>
    <w:p>
      <w:pPr>
        <w:spacing w:before="320" w:after="40"/>
        <w:keepNext/>
      </w:pPr>
      <w:r>
        <w:rPr>
          <w:rFonts w:ascii="Calibri" w:hAnsi="Calibri"/>
          <w:b/>
          <w:color w:val="1E3A8A"/>
          <w:sz w:val="28"/>
        </w:rPr>
        <w:t>KRITIS-Zusatzblock (§ 32 Abs. 3 BSIG), nur Betreiber kritischer Anlagen</w:t>
      </w:r>
    </w:p>
    <w:p>
      <w:pPr>
        <w:spacing w:after="80"/>
        <w:keepNext/>
      </w:pPr>
      <w:r>
        <w:rPr>
          <w:rFonts w:ascii="Calibri" w:hAnsi="Calibri"/>
          <w:b/>
          <w:color w:val="0E7490"/>
          <w:sz w:val="19"/>
        </w:rPr>
        <w:t>Optional: nur auszufüllen von Betreibern kritischer Anlagen, § 32 Abs. 3 BSIG</w:t>
      </w:r>
    </w:p>
    <w:p>
      <w:pPr>
        <w:spacing w:after="120"/>
        <w:keepNext/>
      </w:pPr>
      <w:r>
        <w:rPr>
          <w:rFonts w:ascii="Calibri" w:hAnsi="Calibri"/>
          <w:i/>
          <w:color w:val="5F6571"/>
          <w:sz w:val="18"/>
        </w:rPr>
        <w:t>Betreiber kritischer Anlagen übermitteln zusätzlich zu den Angaben der jeweiligen Meldestufe Angaben zur Art der betroffenen Anlage, zur betroffenen kritischen Dienstleistung und zu den Auswirkungen auf diese Dienstleistung. Für alle anderen Einrichtungen bleibt dieser Block leer.</w:t>
      </w:r>
    </w:p>
    <w:tbl>
      <w:tblPr>
        <w:tblW w:type="auto" w:w="0"/>
        <w:jc w:val="center"/>
        <w:tblLayout w:type="fixed"/>
        <w:tblLook w:firstColumn="1" w:firstRow="1" w:lastColumn="0" w:lastRow="0" w:noHBand="0" w:noVBand="1" w:val="04A0"/>
      </w:tblPr>
      <w:tblGrid>
        <w:gridCol w:w="5046"/>
        <w:gridCol w:w="5046"/>
      </w:tblGrid>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Art der betroffenen Anlage</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Betroffene kritische Dienstleistung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r>
        <w:trPr>
          <w:cantSplit/>
        </w:trPr>
        <w:tc>
          <w:tcPr>
            <w:tcW w:type="dxa" w:w="4819"/>
            <w:shd w:val="clear" w:color="auto" w:fill="F3F4F6"/>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i w:val="0"/>
                <w:color w:val="1E3A8A"/>
                <w:sz w:val="19"/>
              </w:rPr>
              <w:t>Auswirkungen auf diese kritische Dienstleistung</w:t>
            </w:r>
          </w:p>
        </w:tc>
        <w:tc>
          <w:tcPr>
            <w:tcW w:type="dxa" w:w="4819"/>
            <w:shd w:val="clear" w:color="auto" w:fill="FFFBEB"/>
            <w:tcBorders>
              <w:top w:val="single" w:sz="4" w:color="D9DDE3"/>
              <w:left w:val="single" w:sz="4" w:color="D9DDE3"/>
              <w:bottom w:val="single" w:sz="4" w:color="D9DDE3"/>
              <w:right w:val="single" w:sz="4" w:color="D9DDE3"/>
            </w:tcBorders>
            <w:vAlign w:val="center"/>
          </w:tcPr>
          <w:p>
            <w:r/>
          </w:p>
          <w:p>
            <w:pPr>
              <w:spacing w:after="0" w:before="0"/>
            </w:pPr>
            <w:r>
              <w:rPr>
                <w:rFonts w:ascii="Calibri" w:hAnsi="Calibri"/>
                <w:b w:val="0"/>
                <w:i w:val="0"/>
                <w:sz w:val="19"/>
              </w:rPr>
            </w:r>
          </w:p>
        </w:tc>
      </w:tr>
    </w:tbl>
    <w:p>
      <w:pPr>
        <w:spacing w:before="280" w:after="60"/>
      </w:pPr>
      <w:r>
        <w:rPr>
          <w:rFonts w:ascii="Calibri" w:hAnsi="Calibri"/>
          <w:b/>
          <w:color w:val="1E3A8A"/>
          <w:sz w:val="24"/>
        </w:rPr>
        <w:t>Freigabeblock (Fristnachweis)</w:t>
      </w:r>
    </w:p>
    <w:p>
      <w:pPr>
        <w:spacing w:after="80"/>
      </w:pPr>
      <w:r>
        <w:rPr>
          <w:rFonts w:ascii="Calibri" w:hAnsi="Calibri"/>
          <w:i/>
          <w:color w:val="5F6571"/>
          <w:sz w:val="17"/>
        </w:rPr>
        <w:t>Unterschrift und Zeitstempel je Stufe belegen im Zweifel, dass die jeweilige Frist eingehalten wurde. Erst nach Freigabe im Portal einreichen.</w:t>
      </w:r>
    </w:p>
    <w:tbl>
      <w:tblPr>
        <w:tblW w:type="auto" w:w="0"/>
        <w:jc w:val="center"/>
        <w:tblLayout w:type="fixed"/>
        <w:tblLook w:firstColumn="1" w:firstRow="1" w:lastColumn="0" w:lastRow="0" w:noHBand="0" w:noVBand="1" w:val="04A0"/>
      </w:tblPr>
      <w:tblGrid>
        <w:gridCol w:w="2523"/>
        <w:gridCol w:w="2523"/>
        <w:gridCol w:w="2523"/>
        <w:gridCol w:w="2523"/>
      </w:tblGrid>
      <w:tr>
        <w:trPr>
          <w:cantSplit/>
        </w:trPr>
        <w:tc>
          <w:tcPr>
            <w:tcW w:type="dxa" w:w="2438"/>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Meldestufe</w:t>
            </w:r>
          </w:p>
        </w:tc>
        <w:tc>
          <w:tcPr>
            <w:tcW w:type="dxa" w:w="2948"/>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Freigegeben durch (Name, Funktion)</w:t>
            </w:r>
          </w:p>
        </w:tc>
        <w:tc>
          <w:tcPr>
            <w:tcW w:type="dxa" w:w="2154"/>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Unterschrift</w:t>
            </w:r>
          </w:p>
        </w:tc>
        <w:tc>
          <w:tcPr>
            <w:tcW w:type="dxa" w:w="2381"/>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Zeitstempel Absendung</w:t>
            </w:r>
          </w:p>
        </w:tc>
      </w:tr>
      <w:tr>
        <w:trPr>
          <w:cantSplit/>
        </w:trPr>
        <w:tc>
          <w:tcPr>
            <w:tcW w:type="dxa" w:w="2438"/>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i w:val="0"/>
                <w:sz w:val="18"/>
              </w:rPr>
              <w:t>Frühe Erstmeldung</w:t>
            </w:r>
          </w:p>
        </w:tc>
        <w:tc>
          <w:tcPr>
            <w:tcW w:type="dxa" w:w="294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15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381"/>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r>
        <w:trPr>
          <w:cantSplit/>
        </w:trPr>
        <w:tc>
          <w:tcPr>
            <w:tcW w:type="dxa" w:w="2438"/>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i w:val="0"/>
                <w:sz w:val="18"/>
              </w:rPr>
              <w:t>Meldung („Vollmeldung“)</w:t>
            </w:r>
          </w:p>
        </w:tc>
        <w:tc>
          <w:tcPr>
            <w:tcW w:type="dxa" w:w="294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15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381"/>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r>
        <w:trPr>
          <w:cantSplit/>
        </w:trPr>
        <w:tc>
          <w:tcPr>
            <w:tcW w:type="dxa" w:w="2438"/>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i w:val="0"/>
                <w:sz w:val="18"/>
              </w:rPr>
              <w:t>Zwischenmeldung (falls angefordert)</w:t>
            </w:r>
          </w:p>
        </w:tc>
        <w:tc>
          <w:tcPr>
            <w:tcW w:type="dxa" w:w="294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15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381"/>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r>
        <w:trPr>
          <w:cantSplit/>
        </w:trPr>
        <w:tc>
          <w:tcPr>
            <w:tcW w:type="dxa" w:w="2438"/>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i w:val="0"/>
                <w:sz w:val="18"/>
              </w:rPr>
              <w:t>Abschlussmeldung / Fortschrittsmeldung</w:t>
            </w:r>
          </w:p>
        </w:tc>
        <w:tc>
          <w:tcPr>
            <w:tcW w:type="dxa" w:w="294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15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381"/>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bl>
    <w:p>
      <w:pPr>
        <w:spacing w:before="280" w:after="80"/>
      </w:pPr>
      <w:r>
        <w:rPr>
          <w:rFonts w:ascii="Calibri" w:hAnsi="Calibri"/>
          <w:b/>
          <w:color w:val="1E3A8A"/>
          <w:sz w:val="24"/>
        </w:rPr>
        <w:t>Anlagenverzeichnis</w:t>
      </w:r>
    </w:p>
    <w:tbl>
      <w:tblPr>
        <w:tblW w:type="auto" w:w="0"/>
        <w:jc w:val="center"/>
        <w:tblLayout w:type="fixed"/>
        <w:tblLook w:firstColumn="1" w:firstRow="1" w:lastColumn="0" w:lastRow="0" w:noHBand="0" w:noVBand="1" w:val="04A0"/>
      </w:tblPr>
      <w:tblGrid>
        <w:gridCol w:w="2018"/>
        <w:gridCol w:w="2018"/>
        <w:gridCol w:w="2018"/>
        <w:gridCol w:w="2018"/>
        <w:gridCol w:w="2018"/>
      </w:tblGrid>
      <w:tr>
        <w:trPr>
          <w:tblHeader/>
          <w:cantSplit/>
        </w:trPr>
        <w:tc>
          <w:tcPr>
            <w:tcW w:type="dxa" w:w="737"/>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Nr.</w:t>
            </w:r>
          </w:p>
        </w:tc>
        <w:tc>
          <w:tcPr>
            <w:tcW w:type="dxa" w:w="3685"/>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Bezeichnung</w:t>
            </w:r>
          </w:p>
        </w:tc>
        <w:tc>
          <w:tcPr>
            <w:tcW w:type="dxa" w:w="2268"/>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Meldestufe</w:t>
            </w:r>
          </w:p>
        </w:tc>
        <w:tc>
          <w:tcPr>
            <w:tcW w:type="dxa" w:w="1587"/>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Format</w:t>
            </w:r>
          </w:p>
        </w:tc>
        <w:tc>
          <w:tcPr>
            <w:tcW w:type="dxa" w:w="1644"/>
            <w:shd w:val="clear" w:color="auto" w:fill="1E3A8A"/>
            <w:tcBorders>
              <w:top w:val="single" w:sz="4" w:color="D9DDE3"/>
              <w:left w:val="single" w:sz="4" w:color="D9DDE3"/>
              <w:bottom w:val="single" w:sz="4" w:color="D9DDE3"/>
              <w:right w:val="single" w:sz="4" w:color="D9DDE3"/>
            </w:tcBorders>
          </w:tcPr>
          <w:p>
            <w:r/>
          </w:p>
          <w:p>
            <w:pPr>
              <w:spacing w:after="0" w:before="0"/>
            </w:pPr>
            <w:r>
              <w:rPr>
                <w:rFonts w:ascii="Calibri" w:hAnsi="Calibri"/>
                <w:b/>
                <w:i w:val="0"/>
                <w:color w:val="FFFFFF"/>
                <w:sz w:val="18"/>
              </w:rPr>
              <w:t>Datum</w:t>
            </w:r>
          </w:p>
        </w:tc>
      </w:tr>
      <w:tr>
        <w:trPr>
          <w:cantSplit/>
        </w:trPr>
        <w:tc>
          <w:tcPr>
            <w:tcW w:type="dxa" w:w="737"/>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18"/>
              </w:rPr>
              <w:t>1</w:t>
            </w:r>
          </w:p>
        </w:tc>
        <w:tc>
          <w:tcPr>
            <w:tcW w:type="dxa" w:w="3685"/>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26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587"/>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64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r>
        <w:trPr>
          <w:cantSplit/>
        </w:trPr>
        <w:tc>
          <w:tcPr>
            <w:tcW w:type="dxa" w:w="737"/>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18"/>
              </w:rPr>
              <w:t>2</w:t>
            </w:r>
          </w:p>
        </w:tc>
        <w:tc>
          <w:tcPr>
            <w:tcW w:type="dxa" w:w="3685"/>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26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587"/>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64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r>
        <w:trPr>
          <w:cantSplit/>
        </w:trPr>
        <w:tc>
          <w:tcPr>
            <w:tcW w:type="dxa" w:w="737"/>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18"/>
              </w:rPr>
              <w:t>3</w:t>
            </w:r>
          </w:p>
        </w:tc>
        <w:tc>
          <w:tcPr>
            <w:tcW w:type="dxa" w:w="3685"/>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26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587"/>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64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r>
        <w:trPr>
          <w:cantSplit/>
        </w:trPr>
        <w:tc>
          <w:tcPr>
            <w:tcW w:type="dxa" w:w="737"/>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18"/>
              </w:rPr>
              <w:t>4</w:t>
            </w:r>
          </w:p>
        </w:tc>
        <w:tc>
          <w:tcPr>
            <w:tcW w:type="dxa" w:w="3685"/>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26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587"/>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64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r>
        <w:trPr>
          <w:cantSplit/>
        </w:trPr>
        <w:tc>
          <w:tcPr>
            <w:tcW w:type="dxa" w:w="737"/>
            <w:shd w:val="clear" w:color="auto" w:fill="F3F4F6"/>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18"/>
              </w:rPr>
              <w:t>5</w:t>
            </w:r>
          </w:p>
        </w:tc>
        <w:tc>
          <w:tcPr>
            <w:tcW w:type="dxa" w:w="3685"/>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2268"/>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587"/>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c>
          <w:tcPr>
            <w:tcW w:type="dxa" w:w="1644"/>
            <w:shd w:val="clear" w:color="auto" w:fill="FFFBEB"/>
            <w:tcBorders>
              <w:top w:val="single" w:sz="4" w:color="D9DDE3"/>
              <w:left w:val="single" w:sz="4" w:color="D9DDE3"/>
              <w:bottom w:val="single" w:sz="4" w:color="D9DDE3"/>
              <w:right w:val="single" w:sz="4" w:color="D9DDE3"/>
            </w:tcBorders>
          </w:tcPr>
          <w:p>
            <w:r/>
          </w:p>
          <w:p>
            <w:pPr>
              <w:spacing w:after="0" w:before="0"/>
            </w:pPr>
            <w:r>
              <w:rPr>
                <w:rFonts w:ascii="Calibri" w:hAnsi="Calibri"/>
                <w:b w:val="0"/>
                <w:i w:val="0"/>
                <w:sz w:val="20"/>
              </w:rPr>
            </w:r>
          </w:p>
        </w:tc>
      </w:tr>
    </w:tbl>
    <w:p>
      <w:pPr>
        <w:spacing w:after="80"/>
      </w:pPr>
    </w:p>
    <w:p>
      <w:pPr>
        <w:spacing w:after="40"/>
      </w:pPr>
      <w:r>
        <w:rPr>
          <w:rFonts w:ascii="Calibri" w:hAnsi="Calibri"/>
          <w:b/>
          <w:color w:val="1E3A8A"/>
          <w:sz w:val="18"/>
        </w:rPr>
        <w:t>Haftungshinweis</w:t>
      </w:r>
    </w:p>
    <w:p>
      <w:pPr>
        <w:spacing w:after="80"/>
      </w:pPr>
      <w:r>
        <w:rPr>
          <w:rFonts w:ascii="Calibri" w:hAnsi="Calibri"/>
          <w:i/>
          <w:color w:val="595959"/>
          <w:sz w:val="15"/>
        </w:rPr>
        <w:t>Diese Vorlage dient als Ausgangspunkt für die Umsetzung der NIS2-Anforderungen und ersetzt keine individuelle Anpassung an die Gegebenheiten Ihres Unternehmens. NIS2Compass übernimmt keine Gewähr für Vollständigkeit, Aktualität oder Rechtssicherheit. Die Prüfung und Freigabe durch fachkundige Personen (ISB, Datenschutzbeauftragter, Rechtsberatung) liegt in Ihrer Verantwortung.</w:t>
      </w:r>
    </w:p>
    <w:p>
      <w:r>
        <w:rPr>
          <w:rFonts w:ascii="Calibri" w:hAnsi="Calibri"/>
          <w:color w:val="5F6571"/>
          <w:sz w:val="16"/>
        </w:rPr>
        <w:t>Ausformulierte Beispieltexte zu allen drei Meldestufen (Ransomware, Datenabfluss, DDoS): nis2compass.de/de/blog/nis2-meldung-muster-32-bsig</w:t>
      </w:r>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